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7E6AC" w14:textId="77777777" w:rsidR="00C92DE8" w:rsidRPr="00D23E66" w:rsidRDefault="00C92DE8" w:rsidP="00D23E66">
      <w:pPr>
        <w:spacing w:after="120" w:line="288" w:lineRule="auto"/>
        <w:jc w:val="center"/>
        <w:rPr>
          <w:rFonts w:ascii="Bookman Old Style" w:hAnsi="Bookman Old Style"/>
          <w:b/>
        </w:rPr>
      </w:pPr>
      <w:r w:rsidRPr="00D23E66">
        <w:rPr>
          <w:rFonts w:ascii="Bookman Old Style" w:hAnsi="Bookman Old Style"/>
          <w:b/>
        </w:rPr>
        <w:t>Comune di …</w:t>
      </w:r>
      <w:proofErr w:type="gramStart"/>
      <w:r w:rsidRPr="00D23E66">
        <w:rPr>
          <w:rFonts w:ascii="Bookman Old Style" w:hAnsi="Bookman Old Style"/>
          <w:b/>
        </w:rPr>
        <w:t>…….</w:t>
      </w:r>
      <w:proofErr w:type="gramEnd"/>
      <w:r w:rsidRPr="00D23E66">
        <w:rPr>
          <w:rFonts w:ascii="Bookman Old Style" w:hAnsi="Bookman Old Style"/>
          <w:b/>
        </w:rPr>
        <w:t>.</w:t>
      </w:r>
    </w:p>
    <w:p w14:paraId="779922B5" w14:textId="77777777" w:rsidR="00C92DE8" w:rsidRPr="00D23E66" w:rsidRDefault="00C92DE8">
      <w:pPr>
        <w:pStyle w:val="testo"/>
        <w:spacing w:after="40" w:line="276" w:lineRule="auto"/>
        <w:ind w:left="757" w:firstLine="0"/>
        <w:jc w:val="center"/>
        <w:rPr>
          <w:rFonts w:ascii="Bookman Old Style" w:hAnsi="Bookman Old Style"/>
          <w:b/>
          <w:bCs/>
          <w:sz w:val="22"/>
          <w:szCs w:val="22"/>
        </w:rPr>
      </w:pPr>
    </w:p>
    <w:p w14:paraId="48D56BDF" w14:textId="49CF9FBE" w:rsidR="00C92DE8" w:rsidRPr="00D23E66" w:rsidRDefault="00C54B69" w:rsidP="00BE60F5">
      <w:pPr>
        <w:pStyle w:val="testo"/>
        <w:tabs>
          <w:tab w:val="left" w:pos="7951"/>
        </w:tabs>
        <w:spacing w:after="40" w:line="276" w:lineRule="auto"/>
        <w:ind w:left="757" w:firstLine="0"/>
        <w:jc w:val="left"/>
        <w:rPr>
          <w:rFonts w:ascii="Bookman Old Style" w:hAnsi="Bookman Old Style"/>
          <w:b/>
          <w:bCs/>
          <w:sz w:val="22"/>
          <w:szCs w:val="22"/>
        </w:rPr>
      </w:pPr>
      <w:r>
        <w:rPr>
          <w:rFonts w:ascii="Bookman Old Style" w:hAnsi="Bookman Old Style"/>
          <w:b/>
          <w:bCs/>
          <w:sz w:val="22"/>
          <w:szCs w:val="22"/>
        </w:rPr>
        <w:tab/>
      </w:r>
    </w:p>
    <w:p w14:paraId="3E981610" w14:textId="77777777" w:rsidR="00C92DE8" w:rsidRPr="00D23E66" w:rsidRDefault="00C92DE8">
      <w:pPr>
        <w:pStyle w:val="testo"/>
        <w:spacing w:after="40" w:line="276" w:lineRule="auto"/>
        <w:ind w:left="757" w:firstLine="0"/>
        <w:jc w:val="center"/>
        <w:rPr>
          <w:rFonts w:ascii="Bookman Old Style" w:hAnsi="Bookman Old Style"/>
          <w:b/>
          <w:bCs/>
          <w:sz w:val="22"/>
          <w:szCs w:val="22"/>
        </w:rPr>
      </w:pPr>
    </w:p>
    <w:p w14:paraId="6B934BA9" w14:textId="77777777" w:rsidR="00C92DE8" w:rsidRPr="00D23E66" w:rsidRDefault="00C92DE8">
      <w:pPr>
        <w:pStyle w:val="testo"/>
        <w:spacing w:after="40" w:line="276" w:lineRule="auto"/>
        <w:ind w:left="757" w:firstLine="0"/>
        <w:jc w:val="center"/>
        <w:rPr>
          <w:rFonts w:ascii="Bookman Old Style" w:hAnsi="Bookman Old Style"/>
          <w:b/>
          <w:bCs/>
          <w:sz w:val="22"/>
          <w:szCs w:val="22"/>
        </w:rPr>
      </w:pPr>
    </w:p>
    <w:p w14:paraId="0CCA8929" w14:textId="77777777" w:rsidR="00DF6086" w:rsidRPr="00D23E66" w:rsidRDefault="00DF6086">
      <w:pPr>
        <w:pStyle w:val="testo"/>
        <w:spacing w:after="40" w:line="276" w:lineRule="auto"/>
        <w:ind w:left="757" w:firstLine="0"/>
        <w:jc w:val="center"/>
        <w:rPr>
          <w:rFonts w:ascii="Bookman Old Style" w:hAnsi="Bookman Old Style"/>
          <w:b/>
          <w:bCs/>
          <w:sz w:val="22"/>
          <w:szCs w:val="22"/>
        </w:rPr>
      </w:pPr>
      <w:r w:rsidRPr="00D23E66">
        <w:rPr>
          <w:rFonts w:ascii="Bookman Old Style" w:hAnsi="Bookman Old Style"/>
          <w:b/>
          <w:bCs/>
          <w:sz w:val="22"/>
          <w:szCs w:val="22"/>
        </w:rPr>
        <w:t>REGOLAMENTO PER LA DEFINIZIONE AGEVOLATA DELLE ENTRATE COMUNALI</w:t>
      </w:r>
    </w:p>
    <w:p w14:paraId="50FC99A0" w14:textId="77777777" w:rsidR="00DF6086" w:rsidRPr="00D23E66" w:rsidRDefault="00DF6086">
      <w:pPr>
        <w:pStyle w:val="Titolo"/>
        <w:spacing w:after="120" w:line="288" w:lineRule="auto"/>
        <w:rPr>
          <w:rFonts w:ascii="Bookman Old Style" w:hAnsi="Bookman Old Style"/>
          <w:sz w:val="22"/>
          <w:szCs w:val="22"/>
        </w:rPr>
      </w:pPr>
    </w:p>
    <w:p w14:paraId="059E5DA7" w14:textId="77777777" w:rsidR="00DF6086" w:rsidRPr="00D23E66" w:rsidRDefault="00DF6086">
      <w:pPr>
        <w:spacing w:after="120" w:line="288" w:lineRule="auto"/>
        <w:jc w:val="center"/>
        <w:rPr>
          <w:rFonts w:ascii="Bookman Old Style" w:hAnsi="Bookman Old Style"/>
        </w:rPr>
      </w:pPr>
    </w:p>
    <w:p w14:paraId="277B90EF" w14:textId="77777777" w:rsidR="007B4704" w:rsidRPr="00743E3F" w:rsidRDefault="00DF6086">
      <w:pPr>
        <w:pStyle w:val="Sommario3"/>
        <w:tabs>
          <w:tab w:val="right" w:leader="dot" w:pos="9628"/>
        </w:tabs>
        <w:rPr>
          <w:rFonts w:eastAsia="Times New Roman"/>
          <w:noProof/>
          <w:kern w:val="2"/>
          <w:sz w:val="24"/>
          <w:szCs w:val="24"/>
        </w:rPr>
      </w:pPr>
      <w:r w:rsidRPr="002B1C9C">
        <w:rPr>
          <w:rFonts w:ascii="Bookman Old Style" w:hAnsi="Bookman Old Style"/>
        </w:rPr>
        <w:fldChar w:fldCharType="begin"/>
      </w:r>
      <w:r w:rsidRPr="00D23E66">
        <w:rPr>
          <w:rFonts w:ascii="Bookman Old Style" w:hAnsi="Bookman Old Style"/>
        </w:rPr>
        <w:instrText xml:space="preserve"> TOC \o "1-3" \h \z \u </w:instrText>
      </w:r>
      <w:r w:rsidRPr="002B1C9C">
        <w:rPr>
          <w:rFonts w:ascii="Bookman Old Style" w:hAnsi="Bookman Old Style"/>
        </w:rPr>
        <w:fldChar w:fldCharType="separate"/>
      </w:r>
      <w:hyperlink w:anchor="_Toc218672096" w:history="1">
        <w:r w:rsidR="007B4704" w:rsidRPr="004E6598">
          <w:rPr>
            <w:rStyle w:val="Collegamentoipertestuale"/>
            <w:rFonts w:ascii="Bookman Old Style" w:hAnsi="Bookman Old Style"/>
            <w:noProof/>
          </w:rPr>
          <w:t>PARTE I- DEFINIZIONE AGEVOLATA ENTRATE IN RISCOSSIONE COATTIVA</w:t>
        </w:r>
        <w:r w:rsidR="007B4704">
          <w:rPr>
            <w:noProof/>
            <w:webHidden/>
          </w:rPr>
          <w:tab/>
        </w:r>
        <w:r w:rsidR="007B4704">
          <w:rPr>
            <w:noProof/>
            <w:webHidden/>
          </w:rPr>
          <w:fldChar w:fldCharType="begin"/>
        </w:r>
        <w:r w:rsidR="007B4704">
          <w:rPr>
            <w:noProof/>
            <w:webHidden/>
          </w:rPr>
          <w:instrText xml:space="preserve"> PAGEREF _Toc218672096 \h </w:instrText>
        </w:r>
        <w:r w:rsidR="007B4704">
          <w:rPr>
            <w:noProof/>
            <w:webHidden/>
          </w:rPr>
        </w:r>
        <w:r w:rsidR="007B4704">
          <w:rPr>
            <w:noProof/>
            <w:webHidden/>
          </w:rPr>
          <w:fldChar w:fldCharType="separate"/>
        </w:r>
        <w:r w:rsidR="007B4704">
          <w:rPr>
            <w:noProof/>
            <w:webHidden/>
          </w:rPr>
          <w:t>2</w:t>
        </w:r>
        <w:r w:rsidR="007B4704">
          <w:rPr>
            <w:noProof/>
            <w:webHidden/>
          </w:rPr>
          <w:fldChar w:fldCharType="end"/>
        </w:r>
      </w:hyperlink>
    </w:p>
    <w:p w14:paraId="4A73DC51" w14:textId="77777777" w:rsidR="007B4704" w:rsidRPr="00743E3F" w:rsidRDefault="007B4704">
      <w:pPr>
        <w:pStyle w:val="Sommario3"/>
        <w:tabs>
          <w:tab w:val="right" w:leader="dot" w:pos="9628"/>
        </w:tabs>
        <w:rPr>
          <w:rFonts w:eastAsia="Times New Roman"/>
          <w:noProof/>
          <w:kern w:val="2"/>
          <w:sz w:val="24"/>
          <w:szCs w:val="24"/>
        </w:rPr>
      </w:pPr>
      <w:hyperlink w:anchor="_Toc218672097" w:history="1">
        <w:r w:rsidRPr="004E6598">
          <w:rPr>
            <w:rStyle w:val="Collegamentoipertestuale"/>
            <w:rFonts w:ascii="Bookman Old Style" w:hAnsi="Bookman Old Style"/>
            <w:noProof/>
          </w:rPr>
          <w:t xml:space="preserve">Articolo 1 - </w:t>
        </w:r>
        <w:r w:rsidRPr="004E6598">
          <w:rPr>
            <w:rStyle w:val="Collegamentoipertestuale"/>
            <w:rFonts w:ascii="Bookman Old Style" w:hAnsi="Bookman Old Style"/>
            <w:iCs/>
            <w:noProof/>
          </w:rPr>
          <w:t>Oggetto del Regolamento</w:t>
        </w:r>
        <w:r>
          <w:rPr>
            <w:noProof/>
            <w:webHidden/>
          </w:rPr>
          <w:tab/>
        </w:r>
        <w:r>
          <w:rPr>
            <w:noProof/>
            <w:webHidden/>
          </w:rPr>
          <w:fldChar w:fldCharType="begin"/>
        </w:r>
        <w:r>
          <w:rPr>
            <w:noProof/>
            <w:webHidden/>
          </w:rPr>
          <w:instrText xml:space="preserve"> PAGEREF _Toc218672097 \h </w:instrText>
        </w:r>
        <w:r>
          <w:rPr>
            <w:noProof/>
            <w:webHidden/>
          </w:rPr>
        </w:r>
        <w:r>
          <w:rPr>
            <w:noProof/>
            <w:webHidden/>
          </w:rPr>
          <w:fldChar w:fldCharType="separate"/>
        </w:r>
        <w:r>
          <w:rPr>
            <w:noProof/>
            <w:webHidden/>
          </w:rPr>
          <w:t>2</w:t>
        </w:r>
        <w:r>
          <w:rPr>
            <w:noProof/>
            <w:webHidden/>
          </w:rPr>
          <w:fldChar w:fldCharType="end"/>
        </w:r>
      </w:hyperlink>
    </w:p>
    <w:p w14:paraId="59D7F1CE" w14:textId="77777777" w:rsidR="007B4704" w:rsidRPr="00743E3F" w:rsidRDefault="007B4704">
      <w:pPr>
        <w:pStyle w:val="Sommario3"/>
        <w:tabs>
          <w:tab w:val="right" w:leader="dot" w:pos="9628"/>
        </w:tabs>
        <w:rPr>
          <w:rFonts w:eastAsia="Times New Roman"/>
          <w:noProof/>
          <w:kern w:val="2"/>
          <w:sz w:val="24"/>
          <w:szCs w:val="24"/>
        </w:rPr>
      </w:pPr>
      <w:hyperlink w:anchor="_Toc218672098" w:history="1">
        <w:r w:rsidRPr="004E6598">
          <w:rPr>
            <w:rStyle w:val="Collegamentoipertestuale"/>
            <w:rFonts w:ascii="Bookman Old Style" w:hAnsi="Bookman Old Style"/>
            <w:noProof/>
          </w:rPr>
          <w:t xml:space="preserve">Articolo 2 – </w:t>
        </w:r>
        <w:r w:rsidRPr="004E6598">
          <w:rPr>
            <w:rStyle w:val="Collegamentoipertestuale"/>
            <w:rFonts w:ascii="Bookman Old Style" w:hAnsi="Bookman Old Style"/>
            <w:iCs/>
            <w:noProof/>
          </w:rPr>
          <w:t>Oggetto della definizione agevolata</w:t>
        </w:r>
        <w:r>
          <w:rPr>
            <w:noProof/>
            <w:webHidden/>
          </w:rPr>
          <w:tab/>
        </w:r>
        <w:r>
          <w:rPr>
            <w:noProof/>
            <w:webHidden/>
          </w:rPr>
          <w:fldChar w:fldCharType="begin"/>
        </w:r>
        <w:r>
          <w:rPr>
            <w:noProof/>
            <w:webHidden/>
          </w:rPr>
          <w:instrText xml:space="preserve"> PAGEREF _Toc218672098 \h </w:instrText>
        </w:r>
        <w:r>
          <w:rPr>
            <w:noProof/>
            <w:webHidden/>
          </w:rPr>
        </w:r>
        <w:r>
          <w:rPr>
            <w:noProof/>
            <w:webHidden/>
          </w:rPr>
          <w:fldChar w:fldCharType="separate"/>
        </w:r>
        <w:r>
          <w:rPr>
            <w:noProof/>
            <w:webHidden/>
          </w:rPr>
          <w:t>2</w:t>
        </w:r>
        <w:r>
          <w:rPr>
            <w:noProof/>
            <w:webHidden/>
          </w:rPr>
          <w:fldChar w:fldCharType="end"/>
        </w:r>
      </w:hyperlink>
    </w:p>
    <w:p w14:paraId="4C6458A2" w14:textId="77777777" w:rsidR="007B4704" w:rsidRPr="00743E3F" w:rsidRDefault="007B4704">
      <w:pPr>
        <w:pStyle w:val="Sommario3"/>
        <w:tabs>
          <w:tab w:val="right" w:leader="dot" w:pos="9628"/>
        </w:tabs>
        <w:rPr>
          <w:rFonts w:eastAsia="Times New Roman"/>
          <w:noProof/>
          <w:kern w:val="2"/>
          <w:sz w:val="24"/>
          <w:szCs w:val="24"/>
        </w:rPr>
      </w:pPr>
      <w:hyperlink w:anchor="_Toc218672099" w:history="1">
        <w:r w:rsidRPr="004E6598">
          <w:rPr>
            <w:rStyle w:val="Collegamentoipertestuale"/>
            <w:rFonts w:ascii="Bookman Old Style" w:hAnsi="Bookman Old Style"/>
            <w:noProof/>
          </w:rPr>
          <w:t xml:space="preserve">Articolo 3 – </w:t>
        </w:r>
        <w:r w:rsidRPr="004E6598">
          <w:rPr>
            <w:rStyle w:val="Collegamentoipertestuale"/>
            <w:rFonts w:ascii="Bookman Old Style" w:hAnsi="Bookman Old Style"/>
            <w:iCs/>
            <w:noProof/>
          </w:rPr>
          <w:t>Dichiarazione di adesione alla definizione agevolata</w:t>
        </w:r>
        <w:r>
          <w:rPr>
            <w:noProof/>
            <w:webHidden/>
          </w:rPr>
          <w:tab/>
        </w:r>
        <w:r>
          <w:rPr>
            <w:noProof/>
            <w:webHidden/>
          </w:rPr>
          <w:fldChar w:fldCharType="begin"/>
        </w:r>
        <w:r>
          <w:rPr>
            <w:noProof/>
            <w:webHidden/>
          </w:rPr>
          <w:instrText xml:space="preserve"> PAGEREF _Toc218672099 \h </w:instrText>
        </w:r>
        <w:r>
          <w:rPr>
            <w:noProof/>
            <w:webHidden/>
          </w:rPr>
        </w:r>
        <w:r>
          <w:rPr>
            <w:noProof/>
            <w:webHidden/>
          </w:rPr>
          <w:fldChar w:fldCharType="separate"/>
        </w:r>
        <w:r>
          <w:rPr>
            <w:noProof/>
            <w:webHidden/>
          </w:rPr>
          <w:t>3</w:t>
        </w:r>
        <w:r>
          <w:rPr>
            <w:noProof/>
            <w:webHidden/>
          </w:rPr>
          <w:fldChar w:fldCharType="end"/>
        </w:r>
      </w:hyperlink>
    </w:p>
    <w:p w14:paraId="40A90ECD" w14:textId="77777777" w:rsidR="007B4704" w:rsidRPr="00743E3F" w:rsidRDefault="007B4704">
      <w:pPr>
        <w:pStyle w:val="Sommario3"/>
        <w:tabs>
          <w:tab w:val="right" w:leader="dot" w:pos="9628"/>
        </w:tabs>
        <w:rPr>
          <w:rFonts w:eastAsia="Times New Roman"/>
          <w:noProof/>
          <w:kern w:val="2"/>
          <w:sz w:val="24"/>
          <w:szCs w:val="24"/>
        </w:rPr>
      </w:pPr>
      <w:hyperlink w:anchor="_Toc218672100" w:history="1">
        <w:r w:rsidRPr="004E6598">
          <w:rPr>
            <w:rStyle w:val="Collegamentoipertestuale"/>
            <w:rFonts w:ascii="Bookman Old Style" w:hAnsi="Bookman Old Style"/>
            <w:noProof/>
          </w:rPr>
          <w:t xml:space="preserve">Articolo 4 </w:t>
        </w:r>
        <w:r w:rsidRPr="004E6598">
          <w:rPr>
            <w:rStyle w:val="Collegamentoipertestuale"/>
            <w:rFonts w:ascii="Bookman Old Style" w:hAnsi="Bookman Old Style"/>
            <w:i/>
            <w:noProof/>
          </w:rPr>
          <w:t xml:space="preserve">– </w:t>
        </w:r>
        <w:r w:rsidRPr="004E6598">
          <w:rPr>
            <w:rStyle w:val="Collegamentoipertestuale"/>
            <w:rFonts w:ascii="Bookman Old Style" w:hAnsi="Bookman Old Style"/>
            <w:iCs/>
            <w:noProof/>
          </w:rPr>
          <w:t>Effetti della definizione agevolata</w:t>
        </w:r>
        <w:r>
          <w:rPr>
            <w:noProof/>
            <w:webHidden/>
          </w:rPr>
          <w:tab/>
        </w:r>
        <w:r>
          <w:rPr>
            <w:noProof/>
            <w:webHidden/>
          </w:rPr>
          <w:fldChar w:fldCharType="begin"/>
        </w:r>
        <w:r>
          <w:rPr>
            <w:noProof/>
            <w:webHidden/>
          </w:rPr>
          <w:instrText xml:space="preserve"> PAGEREF _Toc218672100 \h </w:instrText>
        </w:r>
        <w:r>
          <w:rPr>
            <w:noProof/>
            <w:webHidden/>
          </w:rPr>
        </w:r>
        <w:r>
          <w:rPr>
            <w:noProof/>
            <w:webHidden/>
          </w:rPr>
          <w:fldChar w:fldCharType="separate"/>
        </w:r>
        <w:r>
          <w:rPr>
            <w:noProof/>
            <w:webHidden/>
          </w:rPr>
          <w:t>4</w:t>
        </w:r>
        <w:r>
          <w:rPr>
            <w:noProof/>
            <w:webHidden/>
          </w:rPr>
          <w:fldChar w:fldCharType="end"/>
        </w:r>
      </w:hyperlink>
    </w:p>
    <w:p w14:paraId="30A9A10B" w14:textId="77777777" w:rsidR="007B4704" w:rsidRPr="00743E3F" w:rsidRDefault="007B4704">
      <w:pPr>
        <w:pStyle w:val="Sommario3"/>
        <w:tabs>
          <w:tab w:val="right" w:leader="dot" w:pos="9628"/>
        </w:tabs>
        <w:rPr>
          <w:rFonts w:eastAsia="Times New Roman"/>
          <w:noProof/>
          <w:kern w:val="2"/>
          <w:sz w:val="24"/>
          <w:szCs w:val="24"/>
        </w:rPr>
      </w:pPr>
      <w:hyperlink w:anchor="_Toc218672101" w:history="1">
        <w:r w:rsidRPr="004E6598">
          <w:rPr>
            <w:rStyle w:val="Collegamentoipertestuale"/>
            <w:rFonts w:ascii="Bookman Old Style" w:hAnsi="Bookman Old Style"/>
            <w:noProof/>
          </w:rPr>
          <w:t xml:space="preserve">Articolo 5 – </w:t>
        </w:r>
        <w:r w:rsidRPr="004E6598">
          <w:rPr>
            <w:rStyle w:val="Collegamentoipertestuale"/>
            <w:rFonts w:ascii="Bookman Old Style" w:hAnsi="Bookman Old Style"/>
            <w:iCs/>
            <w:noProof/>
          </w:rPr>
          <w:t>Definizione agevolata degli importi oggetto di rateizzazione</w:t>
        </w:r>
        <w:r>
          <w:rPr>
            <w:noProof/>
            <w:webHidden/>
          </w:rPr>
          <w:tab/>
        </w:r>
        <w:r>
          <w:rPr>
            <w:noProof/>
            <w:webHidden/>
          </w:rPr>
          <w:fldChar w:fldCharType="begin"/>
        </w:r>
        <w:r>
          <w:rPr>
            <w:noProof/>
            <w:webHidden/>
          </w:rPr>
          <w:instrText xml:space="preserve"> PAGEREF _Toc218672101 \h </w:instrText>
        </w:r>
        <w:r>
          <w:rPr>
            <w:noProof/>
            <w:webHidden/>
          </w:rPr>
        </w:r>
        <w:r>
          <w:rPr>
            <w:noProof/>
            <w:webHidden/>
          </w:rPr>
          <w:fldChar w:fldCharType="separate"/>
        </w:r>
        <w:r>
          <w:rPr>
            <w:noProof/>
            <w:webHidden/>
          </w:rPr>
          <w:t>4</w:t>
        </w:r>
        <w:r>
          <w:rPr>
            <w:noProof/>
            <w:webHidden/>
          </w:rPr>
          <w:fldChar w:fldCharType="end"/>
        </w:r>
      </w:hyperlink>
    </w:p>
    <w:p w14:paraId="76940347" w14:textId="77777777" w:rsidR="007B4704" w:rsidRPr="00743E3F" w:rsidRDefault="007B4704">
      <w:pPr>
        <w:pStyle w:val="Sommario3"/>
        <w:tabs>
          <w:tab w:val="right" w:leader="dot" w:pos="9628"/>
        </w:tabs>
        <w:rPr>
          <w:rFonts w:eastAsia="Times New Roman"/>
          <w:noProof/>
          <w:kern w:val="2"/>
          <w:sz w:val="24"/>
          <w:szCs w:val="24"/>
        </w:rPr>
      </w:pPr>
      <w:hyperlink w:anchor="_Toc218672102" w:history="1">
        <w:r w:rsidRPr="004E6598">
          <w:rPr>
            <w:rStyle w:val="Collegamentoipertestuale"/>
            <w:rFonts w:ascii="Bookman Old Style" w:hAnsi="Bookman Old Style"/>
            <w:noProof/>
          </w:rPr>
          <w:t xml:space="preserve">Articolo 6 – </w:t>
        </w:r>
        <w:r w:rsidRPr="004E6598">
          <w:rPr>
            <w:rStyle w:val="Collegamentoipertestuale"/>
            <w:rFonts w:ascii="Bookman Old Style" w:hAnsi="Bookman Old Style"/>
            <w:iCs/>
            <w:noProof/>
          </w:rPr>
          <w:t xml:space="preserve">Definizione agevolata degli importi inclusi in accordi o piani del consumatore </w:t>
        </w:r>
        <w:r>
          <w:rPr>
            <w:noProof/>
            <w:webHidden/>
          </w:rPr>
          <w:tab/>
        </w:r>
        <w:r>
          <w:rPr>
            <w:noProof/>
            <w:webHidden/>
          </w:rPr>
          <w:fldChar w:fldCharType="begin"/>
        </w:r>
        <w:r>
          <w:rPr>
            <w:noProof/>
            <w:webHidden/>
          </w:rPr>
          <w:instrText xml:space="preserve"> PAGEREF _Toc218672102 \h </w:instrText>
        </w:r>
        <w:r>
          <w:rPr>
            <w:noProof/>
            <w:webHidden/>
          </w:rPr>
        </w:r>
        <w:r>
          <w:rPr>
            <w:noProof/>
            <w:webHidden/>
          </w:rPr>
          <w:fldChar w:fldCharType="separate"/>
        </w:r>
        <w:r>
          <w:rPr>
            <w:noProof/>
            <w:webHidden/>
          </w:rPr>
          <w:t>5</w:t>
        </w:r>
        <w:r>
          <w:rPr>
            <w:noProof/>
            <w:webHidden/>
          </w:rPr>
          <w:fldChar w:fldCharType="end"/>
        </w:r>
      </w:hyperlink>
    </w:p>
    <w:p w14:paraId="274EA44B" w14:textId="77777777" w:rsidR="007B4704" w:rsidRPr="00743E3F" w:rsidRDefault="007B4704">
      <w:pPr>
        <w:pStyle w:val="Sommario3"/>
        <w:tabs>
          <w:tab w:val="right" w:leader="dot" w:pos="9628"/>
        </w:tabs>
        <w:rPr>
          <w:rFonts w:eastAsia="Times New Roman"/>
          <w:noProof/>
          <w:kern w:val="2"/>
          <w:sz w:val="24"/>
          <w:szCs w:val="24"/>
        </w:rPr>
      </w:pPr>
      <w:hyperlink w:anchor="_Toc218672103" w:history="1">
        <w:r w:rsidRPr="004E6598">
          <w:rPr>
            <w:rStyle w:val="Collegamentoipertestuale"/>
            <w:rFonts w:ascii="Bookman Old Style" w:hAnsi="Bookman Old Style"/>
            <w:noProof/>
          </w:rPr>
          <w:t xml:space="preserve">Articolo 7 – </w:t>
        </w:r>
        <w:r w:rsidRPr="004E6598">
          <w:rPr>
            <w:rStyle w:val="Collegamentoipertestuale"/>
            <w:rFonts w:ascii="Bookman Old Style" w:hAnsi="Bookman Old Style"/>
            <w:iCs/>
            <w:noProof/>
          </w:rPr>
          <w:t>Procedure cautelari ed esecutive in corso</w:t>
        </w:r>
        <w:r>
          <w:rPr>
            <w:noProof/>
            <w:webHidden/>
          </w:rPr>
          <w:tab/>
        </w:r>
        <w:r>
          <w:rPr>
            <w:noProof/>
            <w:webHidden/>
          </w:rPr>
          <w:fldChar w:fldCharType="begin"/>
        </w:r>
        <w:r>
          <w:rPr>
            <w:noProof/>
            <w:webHidden/>
          </w:rPr>
          <w:instrText xml:space="preserve"> PAGEREF _Toc218672103 \h </w:instrText>
        </w:r>
        <w:r>
          <w:rPr>
            <w:noProof/>
            <w:webHidden/>
          </w:rPr>
        </w:r>
        <w:r>
          <w:rPr>
            <w:noProof/>
            <w:webHidden/>
          </w:rPr>
          <w:fldChar w:fldCharType="separate"/>
        </w:r>
        <w:r>
          <w:rPr>
            <w:noProof/>
            <w:webHidden/>
          </w:rPr>
          <w:t>5</w:t>
        </w:r>
        <w:r>
          <w:rPr>
            <w:noProof/>
            <w:webHidden/>
          </w:rPr>
          <w:fldChar w:fldCharType="end"/>
        </w:r>
      </w:hyperlink>
    </w:p>
    <w:p w14:paraId="0F01A17F" w14:textId="77777777" w:rsidR="007B4704" w:rsidRPr="00743E3F" w:rsidRDefault="007B4704">
      <w:pPr>
        <w:pStyle w:val="Sommario3"/>
        <w:tabs>
          <w:tab w:val="right" w:leader="dot" w:pos="9628"/>
        </w:tabs>
        <w:rPr>
          <w:rFonts w:eastAsia="Times New Roman"/>
          <w:noProof/>
          <w:kern w:val="2"/>
          <w:sz w:val="24"/>
          <w:szCs w:val="24"/>
        </w:rPr>
      </w:pPr>
      <w:hyperlink w:anchor="_Toc218672104" w:history="1">
        <w:r w:rsidRPr="004E6598">
          <w:rPr>
            <w:rStyle w:val="Collegamentoipertestuale"/>
            <w:rFonts w:ascii="Bookman Old Style" w:hAnsi="Bookman Old Style"/>
            <w:noProof/>
          </w:rPr>
          <w:t xml:space="preserve">Articolo 8 – Rinuncia al </w:t>
        </w:r>
        <w:r w:rsidRPr="004E6598">
          <w:rPr>
            <w:rStyle w:val="Collegamentoipertestuale"/>
            <w:rFonts w:ascii="Bookman Old Style" w:hAnsi="Bookman Old Style"/>
            <w:iCs/>
            <w:noProof/>
          </w:rPr>
          <w:t>contenzioso pendente</w:t>
        </w:r>
        <w:r>
          <w:rPr>
            <w:noProof/>
            <w:webHidden/>
          </w:rPr>
          <w:tab/>
        </w:r>
        <w:r>
          <w:rPr>
            <w:noProof/>
            <w:webHidden/>
          </w:rPr>
          <w:fldChar w:fldCharType="begin"/>
        </w:r>
        <w:r>
          <w:rPr>
            <w:noProof/>
            <w:webHidden/>
          </w:rPr>
          <w:instrText xml:space="preserve"> PAGEREF _Toc218672104 \h </w:instrText>
        </w:r>
        <w:r>
          <w:rPr>
            <w:noProof/>
            <w:webHidden/>
          </w:rPr>
        </w:r>
        <w:r>
          <w:rPr>
            <w:noProof/>
            <w:webHidden/>
          </w:rPr>
          <w:fldChar w:fldCharType="separate"/>
        </w:r>
        <w:r>
          <w:rPr>
            <w:noProof/>
            <w:webHidden/>
          </w:rPr>
          <w:t>5</w:t>
        </w:r>
        <w:r>
          <w:rPr>
            <w:noProof/>
            <w:webHidden/>
          </w:rPr>
          <w:fldChar w:fldCharType="end"/>
        </w:r>
      </w:hyperlink>
    </w:p>
    <w:p w14:paraId="4C9D4D38" w14:textId="77777777" w:rsidR="007B4704" w:rsidRPr="00743E3F" w:rsidRDefault="007B4704">
      <w:pPr>
        <w:pStyle w:val="Sommario3"/>
        <w:tabs>
          <w:tab w:val="right" w:leader="dot" w:pos="9628"/>
        </w:tabs>
        <w:rPr>
          <w:rFonts w:eastAsia="Times New Roman"/>
          <w:noProof/>
          <w:kern w:val="2"/>
          <w:sz w:val="24"/>
          <w:szCs w:val="24"/>
        </w:rPr>
      </w:pPr>
      <w:hyperlink w:anchor="_Toc218672105" w:history="1">
        <w:r w:rsidRPr="004E6598">
          <w:rPr>
            <w:rStyle w:val="Collegamentoipertestuale"/>
            <w:rFonts w:ascii="Bookman Old Style" w:hAnsi="Bookman Old Style"/>
            <w:noProof/>
          </w:rPr>
          <w:t xml:space="preserve">Articolo 9 – </w:t>
        </w:r>
        <w:r w:rsidRPr="004E6598">
          <w:rPr>
            <w:rStyle w:val="Collegamentoipertestuale"/>
            <w:rFonts w:ascii="Bookman Old Style" w:hAnsi="Bookman Old Style"/>
            <w:iCs/>
            <w:noProof/>
          </w:rPr>
          <w:t>Entrata in vigore</w:t>
        </w:r>
        <w:r>
          <w:rPr>
            <w:noProof/>
            <w:webHidden/>
          </w:rPr>
          <w:tab/>
        </w:r>
        <w:r>
          <w:rPr>
            <w:noProof/>
            <w:webHidden/>
          </w:rPr>
          <w:fldChar w:fldCharType="begin"/>
        </w:r>
        <w:r>
          <w:rPr>
            <w:noProof/>
            <w:webHidden/>
          </w:rPr>
          <w:instrText xml:space="preserve"> PAGEREF _Toc218672105 \h </w:instrText>
        </w:r>
        <w:r>
          <w:rPr>
            <w:noProof/>
            <w:webHidden/>
          </w:rPr>
        </w:r>
        <w:r>
          <w:rPr>
            <w:noProof/>
            <w:webHidden/>
          </w:rPr>
          <w:fldChar w:fldCharType="separate"/>
        </w:r>
        <w:r>
          <w:rPr>
            <w:noProof/>
            <w:webHidden/>
          </w:rPr>
          <w:t>6</w:t>
        </w:r>
        <w:r>
          <w:rPr>
            <w:noProof/>
            <w:webHidden/>
          </w:rPr>
          <w:fldChar w:fldCharType="end"/>
        </w:r>
      </w:hyperlink>
    </w:p>
    <w:p w14:paraId="49A82D24" w14:textId="77777777" w:rsidR="007B4704" w:rsidRPr="00743E3F" w:rsidRDefault="007B4704">
      <w:pPr>
        <w:pStyle w:val="Sommario3"/>
        <w:tabs>
          <w:tab w:val="right" w:leader="dot" w:pos="9628"/>
        </w:tabs>
        <w:rPr>
          <w:rFonts w:eastAsia="Times New Roman"/>
          <w:noProof/>
          <w:kern w:val="2"/>
          <w:sz w:val="24"/>
          <w:szCs w:val="24"/>
        </w:rPr>
      </w:pPr>
      <w:hyperlink w:anchor="_Toc218672106" w:history="1">
        <w:r w:rsidRPr="004E6598">
          <w:rPr>
            <w:rStyle w:val="Collegamentoipertestuale"/>
            <w:rFonts w:ascii="Bookman Old Style" w:hAnsi="Bookman Old Style"/>
            <w:noProof/>
          </w:rPr>
          <w:t>PARTE II- DEFINIZIONE AGEVOLATA DELLE LITI PENDENTI</w:t>
        </w:r>
        <w:r>
          <w:rPr>
            <w:noProof/>
            <w:webHidden/>
          </w:rPr>
          <w:tab/>
        </w:r>
        <w:r>
          <w:rPr>
            <w:noProof/>
            <w:webHidden/>
          </w:rPr>
          <w:fldChar w:fldCharType="begin"/>
        </w:r>
        <w:r>
          <w:rPr>
            <w:noProof/>
            <w:webHidden/>
          </w:rPr>
          <w:instrText xml:space="preserve"> PAGEREF _Toc218672106 \h </w:instrText>
        </w:r>
        <w:r>
          <w:rPr>
            <w:noProof/>
            <w:webHidden/>
          </w:rPr>
        </w:r>
        <w:r>
          <w:rPr>
            <w:noProof/>
            <w:webHidden/>
          </w:rPr>
          <w:fldChar w:fldCharType="separate"/>
        </w:r>
        <w:r>
          <w:rPr>
            <w:noProof/>
            <w:webHidden/>
          </w:rPr>
          <w:t>7</w:t>
        </w:r>
        <w:r>
          <w:rPr>
            <w:noProof/>
            <w:webHidden/>
          </w:rPr>
          <w:fldChar w:fldCharType="end"/>
        </w:r>
      </w:hyperlink>
    </w:p>
    <w:p w14:paraId="53D8A913" w14:textId="77777777" w:rsidR="007B4704" w:rsidRPr="00743E3F" w:rsidRDefault="007B4704">
      <w:pPr>
        <w:pStyle w:val="Sommario3"/>
        <w:tabs>
          <w:tab w:val="right" w:leader="dot" w:pos="9628"/>
        </w:tabs>
        <w:rPr>
          <w:rFonts w:eastAsia="Times New Roman"/>
          <w:noProof/>
          <w:kern w:val="2"/>
          <w:sz w:val="24"/>
          <w:szCs w:val="24"/>
        </w:rPr>
      </w:pPr>
      <w:hyperlink w:anchor="_Toc218672107" w:history="1">
        <w:r w:rsidRPr="004E6598">
          <w:rPr>
            <w:rStyle w:val="Collegamentoipertestuale"/>
            <w:rFonts w:ascii="Bookman Old Style" w:hAnsi="Bookman Old Style"/>
            <w:noProof/>
          </w:rPr>
          <w:t xml:space="preserve">Articolo 1 - </w:t>
        </w:r>
        <w:r w:rsidRPr="004E6598">
          <w:rPr>
            <w:rStyle w:val="Collegamentoipertestuale"/>
            <w:rFonts w:ascii="Bookman Old Style" w:hAnsi="Bookman Old Style"/>
            <w:iCs/>
            <w:noProof/>
          </w:rPr>
          <w:t>Oggetto del Regolamento</w:t>
        </w:r>
        <w:r>
          <w:rPr>
            <w:noProof/>
            <w:webHidden/>
          </w:rPr>
          <w:tab/>
        </w:r>
        <w:r>
          <w:rPr>
            <w:noProof/>
            <w:webHidden/>
          </w:rPr>
          <w:fldChar w:fldCharType="begin"/>
        </w:r>
        <w:r>
          <w:rPr>
            <w:noProof/>
            <w:webHidden/>
          </w:rPr>
          <w:instrText xml:space="preserve"> PAGEREF _Toc218672107 \h </w:instrText>
        </w:r>
        <w:r>
          <w:rPr>
            <w:noProof/>
            <w:webHidden/>
          </w:rPr>
        </w:r>
        <w:r>
          <w:rPr>
            <w:noProof/>
            <w:webHidden/>
          </w:rPr>
          <w:fldChar w:fldCharType="separate"/>
        </w:r>
        <w:r>
          <w:rPr>
            <w:noProof/>
            <w:webHidden/>
          </w:rPr>
          <w:t>7</w:t>
        </w:r>
        <w:r>
          <w:rPr>
            <w:noProof/>
            <w:webHidden/>
          </w:rPr>
          <w:fldChar w:fldCharType="end"/>
        </w:r>
      </w:hyperlink>
    </w:p>
    <w:p w14:paraId="39DB266E" w14:textId="77777777" w:rsidR="007B4704" w:rsidRPr="00743E3F" w:rsidRDefault="007B4704">
      <w:pPr>
        <w:pStyle w:val="Sommario3"/>
        <w:tabs>
          <w:tab w:val="right" w:leader="dot" w:pos="9628"/>
        </w:tabs>
        <w:rPr>
          <w:rFonts w:eastAsia="Times New Roman"/>
          <w:noProof/>
          <w:kern w:val="2"/>
          <w:sz w:val="24"/>
          <w:szCs w:val="24"/>
        </w:rPr>
      </w:pPr>
      <w:hyperlink w:anchor="_Toc218672108" w:history="1">
        <w:r w:rsidRPr="004E6598">
          <w:rPr>
            <w:rStyle w:val="Collegamentoipertestuale"/>
            <w:rFonts w:ascii="Bookman Old Style" w:hAnsi="Bookman Old Style"/>
            <w:noProof/>
          </w:rPr>
          <w:t>Articolo 2 – Oggetto della definizione agevolata</w:t>
        </w:r>
        <w:r>
          <w:rPr>
            <w:noProof/>
            <w:webHidden/>
          </w:rPr>
          <w:tab/>
        </w:r>
        <w:r>
          <w:rPr>
            <w:noProof/>
            <w:webHidden/>
          </w:rPr>
          <w:fldChar w:fldCharType="begin"/>
        </w:r>
        <w:r>
          <w:rPr>
            <w:noProof/>
            <w:webHidden/>
          </w:rPr>
          <w:instrText xml:space="preserve"> PAGEREF _Toc218672108 \h </w:instrText>
        </w:r>
        <w:r>
          <w:rPr>
            <w:noProof/>
            <w:webHidden/>
          </w:rPr>
        </w:r>
        <w:r>
          <w:rPr>
            <w:noProof/>
            <w:webHidden/>
          </w:rPr>
          <w:fldChar w:fldCharType="separate"/>
        </w:r>
        <w:r>
          <w:rPr>
            <w:noProof/>
            <w:webHidden/>
          </w:rPr>
          <w:t>7</w:t>
        </w:r>
        <w:r>
          <w:rPr>
            <w:noProof/>
            <w:webHidden/>
          </w:rPr>
          <w:fldChar w:fldCharType="end"/>
        </w:r>
      </w:hyperlink>
    </w:p>
    <w:p w14:paraId="275E0C59" w14:textId="77777777" w:rsidR="007B4704" w:rsidRPr="00743E3F" w:rsidRDefault="007B4704">
      <w:pPr>
        <w:pStyle w:val="Sommario3"/>
        <w:tabs>
          <w:tab w:val="right" w:leader="dot" w:pos="9628"/>
        </w:tabs>
        <w:rPr>
          <w:rFonts w:eastAsia="Times New Roman"/>
          <w:noProof/>
          <w:kern w:val="2"/>
          <w:sz w:val="24"/>
          <w:szCs w:val="24"/>
        </w:rPr>
      </w:pPr>
      <w:hyperlink w:anchor="_Toc218672109" w:history="1">
        <w:r w:rsidRPr="004E6598">
          <w:rPr>
            <w:rStyle w:val="Collegamentoipertestuale"/>
            <w:rFonts w:ascii="Bookman Old Style" w:hAnsi="Bookman Old Style"/>
            <w:noProof/>
          </w:rPr>
          <w:t>Articolo 3 – Termini e modalità di presentazione della domanda</w:t>
        </w:r>
        <w:r>
          <w:rPr>
            <w:noProof/>
            <w:webHidden/>
          </w:rPr>
          <w:tab/>
        </w:r>
        <w:r>
          <w:rPr>
            <w:noProof/>
            <w:webHidden/>
          </w:rPr>
          <w:fldChar w:fldCharType="begin"/>
        </w:r>
        <w:r>
          <w:rPr>
            <w:noProof/>
            <w:webHidden/>
          </w:rPr>
          <w:instrText xml:space="preserve"> PAGEREF _Toc218672109 \h </w:instrText>
        </w:r>
        <w:r>
          <w:rPr>
            <w:noProof/>
            <w:webHidden/>
          </w:rPr>
        </w:r>
        <w:r>
          <w:rPr>
            <w:noProof/>
            <w:webHidden/>
          </w:rPr>
          <w:fldChar w:fldCharType="separate"/>
        </w:r>
        <w:r>
          <w:rPr>
            <w:noProof/>
            <w:webHidden/>
          </w:rPr>
          <w:t>8</w:t>
        </w:r>
        <w:r>
          <w:rPr>
            <w:noProof/>
            <w:webHidden/>
          </w:rPr>
          <w:fldChar w:fldCharType="end"/>
        </w:r>
      </w:hyperlink>
    </w:p>
    <w:p w14:paraId="5E0C899F" w14:textId="77777777" w:rsidR="007B4704" w:rsidRPr="00743E3F" w:rsidRDefault="007B4704">
      <w:pPr>
        <w:pStyle w:val="Sommario3"/>
        <w:tabs>
          <w:tab w:val="right" w:leader="dot" w:pos="9628"/>
        </w:tabs>
        <w:rPr>
          <w:rFonts w:eastAsia="Times New Roman"/>
          <w:noProof/>
          <w:kern w:val="2"/>
          <w:sz w:val="24"/>
          <w:szCs w:val="24"/>
        </w:rPr>
      </w:pPr>
      <w:hyperlink w:anchor="_Toc218672110" w:history="1">
        <w:r w:rsidRPr="004E6598">
          <w:rPr>
            <w:rStyle w:val="Collegamentoipertestuale"/>
            <w:rFonts w:ascii="Bookman Old Style" w:hAnsi="Bookman Old Style"/>
            <w:noProof/>
          </w:rPr>
          <w:t>Articolo 4 – Importi dovuti</w:t>
        </w:r>
        <w:r>
          <w:rPr>
            <w:noProof/>
            <w:webHidden/>
          </w:rPr>
          <w:tab/>
        </w:r>
        <w:r>
          <w:rPr>
            <w:noProof/>
            <w:webHidden/>
          </w:rPr>
          <w:fldChar w:fldCharType="begin"/>
        </w:r>
        <w:r>
          <w:rPr>
            <w:noProof/>
            <w:webHidden/>
          </w:rPr>
          <w:instrText xml:space="preserve"> PAGEREF _Toc218672110 \h </w:instrText>
        </w:r>
        <w:r>
          <w:rPr>
            <w:noProof/>
            <w:webHidden/>
          </w:rPr>
        </w:r>
        <w:r>
          <w:rPr>
            <w:noProof/>
            <w:webHidden/>
          </w:rPr>
          <w:fldChar w:fldCharType="separate"/>
        </w:r>
        <w:r>
          <w:rPr>
            <w:noProof/>
            <w:webHidden/>
          </w:rPr>
          <w:t>8</w:t>
        </w:r>
        <w:r>
          <w:rPr>
            <w:noProof/>
            <w:webHidden/>
          </w:rPr>
          <w:fldChar w:fldCharType="end"/>
        </w:r>
      </w:hyperlink>
    </w:p>
    <w:p w14:paraId="22088A0E" w14:textId="77777777" w:rsidR="007B4704" w:rsidRPr="00743E3F" w:rsidRDefault="007B4704">
      <w:pPr>
        <w:pStyle w:val="Sommario3"/>
        <w:tabs>
          <w:tab w:val="right" w:leader="dot" w:pos="9628"/>
        </w:tabs>
        <w:rPr>
          <w:rFonts w:eastAsia="Times New Roman"/>
          <w:noProof/>
          <w:kern w:val="2"/>
          <w:sz w:val="24"/>
          <w:szCs w:val="24"/>
        </w:rPr>
      </w:pPr>
      <w:hyperlink w:anchor="_Toc218672111" w:history="1">
        <w:r w:rsidRPr="004E6598">
          <w:rPr>
            <w:rStyle w:val="Collegamentoipertestuale"/>
            <w:rFonts w:ascii="Bookman Old Style" w:hAnsi="Bookman Old Style"/>
            <w:noProof/>
          </w:rPr>
          <w:t>Articolo 5 – Perfezionamento della definizione</w:t>
        </w:r>
        <w:r>
          <w:rPr>
            <w:noProof/>
            <w:webHidden/>
          </w:rPr>
          <w:tab/>
        </w:r>
        <w:r>
          <w:rPr>
            <w:noProof/>
            <w:webHidden/>
          </w:rPr>
          <w:fldChar w:fldCharType="begin"/>
        </w:r>
        <w:r>
          <w:rPr>
            <w:noProof/>
            <w:webHidden/>
          </w:rPr>
          <w:instrText xml:space="preserve"> PAGEREF _Toc218672111 \h </w:instrText>
        </w:r>
        <w:r>
          <w:rPr>
            <w:noProof/>
            <w:webHidden/>
          </w:rPr>
        </w:r>
        <w:r>
          <w:rPr>
            <w:noProof/>
            <w:webHidden/>
          </w:rPr>
          <w:fldChar w:fldCharType="separate"/>
        </w:r>
        <w:r>
          <w:rPr>
            <w:noProof/>
            <w:webHidden/>
          </w:rPr>
          <w:t>9</w:t>
        </w:r>
        <w:r>
          <w:rPr>
            <w:noProof/>
            <w:webHidden/>
          </w:rPr>
          <w:fldChar w:fldCharType="end"/>
        </w:r>
      </w:hyperlink>
    </w:p>
    <w:p w14:paraId="3CA50724" w14:textId="77777777" w:rsidR="007B4704" w:rsidRPr="00743E3F" w:rsidRDefault="007B4704">
      <w:pPr>
        <w:pStyle w:val="Sommario3"/>
        <w:tabs>
          <w:tab w:val="right" w:leader="dot" w:pos="9628"/>
        </w:tabs>
        <w:rPr>
          <w:rFonts w:eastAsia="Times New Roman"/>
          <w:noProof/>
          <w:kern w:val="2"/>
          <w:sz w:val="24"/>
          <w:szCs w:val="24"/>
        </w:rPr>
      </w:pPr>
      <w:hyperlink w:anchor="_Toc218672112" w:history="1">
        <w:r w:rsidRPr="004E6598">
          <w:rPr>
            <w:rStyle w:val="Collegamentoipertestuale"/>
            <w:rFonts w:ascii="Bookman Old Style" w:hAnsi="Bookman Old Style"/>
            <w:noProof/>
          </w:rPr>
          <w:t>Articolo 6 – Diniego della definizione</w:t>
        </w:r>
        <w:r>
          <w:rPr>
            <w:noProof/>
            <w:webHidden/>
          </w:rPr>
          <w:tab/>
        </w:r>
        <w:r>
          <w:rPr>
            <w:noProof/>
            <w:webHidden/>
          </w:rPr>
          <w:fldChar w:fldCharType="begin"/>
        </w:r>
        <w:r>
          <w:rPr>
            <w:noProof/>
            <w:webHidden/>
          </w:rPr>
          <w:instrText xml:space="preserve"> PAGEREF _Toc218672112 \h </w:instrText>
        </w:r>
        <w:r>
          <w:rPr>
            <w:noProof/>
            <w:webHidden/>
          </w:rPr>
        </w:r>
        <w:r>
          <w:rPr>
            <w:noProof/>
            <w:webHidden/>
          </w:rPr>
          <w:fldChar w:fldCharType="separate"/>
        </w:r>
        <w:r>
          <w:rPr>
            <w:noProof/>
            <w:webHidden/>
          </w:rPr>
          <w:t>10</w:t>
        </w:r>
        <w:r>
          <w:rPr>
            <w:noProof/>
            <w:webHidden/>
          </w:rPr>
          <w:fldChar w:fldCharType="end"/>
        </w:r>
      </w:hyperlink>
    </w:p>
    <w:p w14:paraId="220FB191" w14:textId="77777777" w:rsidR="007B4704" w:rsidRPr="00743E3F" w:rsidRDefault="007B4704">
      <w:pPr>
        <w:pStyle w:val="Sommario3"/>
        <w:tabs>
          <w:tab w:val="right" w:leader="dot" w:pos="9628"/>
        </w:tabs>
        <w:rPr>
          <w:rFonts w:eastAsia="Times New Roman"/>
          <w:noProof/>
          <w:kern w:val="2"/>
          <w:sz w:val="24"/>
          <w:szCs w:val="24"/>
        </w:rPr>
      </w:pPr>
      <w:hyperlink w:anchor="_Toc218672113" w:history="1">
        <w:r w:rsidRPr="004E6598">
          <w:rPr>
            <w:rStyle w:val="Collegamentoipertestuale"/>
            <w:rFonts w:ascii="Bookman Old Style" w:hAnsi="Bookman Old Style"/>
            <w:noProof/>
          </w:rPr>
          <w:t>Articolo 7 – Sospensione del processo</w:t>
        </w:r>
        <w:r>
          <w:rPr>
            <w:noProof/>
            <w:webHidden/>
          </w:rPr>
          <w:tab/>
        </w:r>
        <w:r>
          <w:rPr>
            <w:noProof/>
            <w:webHidden/>
          </w:rPr>
          <w:fldChar w:fldCharType="begin"/>
        </w:r>
        <w:r>
          <w:rPr>
            <w:noProof/>
            <w:webHidden/>
          </w:rPr>
          <w:instrText xml:space="preserve"> PAGEREF _Toc218672113 \h </w:instrText>
        </w:r>
        <w:r>
          <w:rPr>
            <w:noProof/>
            <w:webHidden/>
          </w:rPr>
        </w:r>
        <w:r>
          <w:rPr>
            <w:noProof/>
            <w:webHidden/>
          </w:rPr>
          <w:fldChar w:fldCharType="separate"/>
        </w:r>
        <w:r>
          <w:rPr>
            <w:noProof/>
            <w:webHidden/>
          </w:rPr>
          <w:t>10</w:t>
        </w:r>
        <w:r>
          <w:rPr>
            <w:noProof/>
            <w:webHidden/>
          </w:rPr>
          <w:fldChar w:fldCharType="end"/>
        </w:r>
      </w:hyperlink>
    </w:p>
    <w:p w14:paraId="4F1BD813" w14:textId="77777777" w:rsidR="007B4704" w:rsidRPr="00743E3F" w:rsidRDefault="007B4704">
      <w:pPr>
        <w:pStyle w:val="Sommario3"/>
        <w:tabs>
          <w:tab w:val="right" w:leader="dot" w:pos="9628"/>
        </w:tabs>
        <w:rPr>
          <w:rFonts w:eastAsia="Times New Roman"/>
          <w:noProof/>
          <w:kern w:val="2"/>
          <w:sz w:val="24"/>
          <w:szCs w:val="24"/>
        </w:rPr>
      </w:pPr>
      <w:hyperlink w:anchor="_Toc218672114" w:history="1">
        <w:r w:rsidRPr="004E6598">
          <w:rPr>
            <w:rStyle w:val="Collegamentoipertestuale"/>
            <w:rFonts w:ascii="Bookman Old Style" w:hAnsi="Bookman Old Style"/>
            <w:noProof/>
          </w:rPr>
          <w:t xml:space="preserve">Articolo 8 – </w:t>
        </w:r>
        <w:r w:rsidRPr="004E6598">
          <w:rPr>
            <w:rStyle w:val="Collegamentoipertestuale"/>
            <w:rFonts w:ascii="Bookman Old Style" w:hAnsi="Bookman Old Style"/>
            <w:iCs/>
            <w:noProof/>
          </w:rPr>
          <w:t>Entrata in vigore</w:t>
        </w:r>
        <w:r>
          <w:rPr>
            <w:noProof/>
            <w:webHidden/>
          </w:rPr>
          <w:tab/>
        </w:r>
        <w:r>
          <w:rPr>
            <w:noProof/>
            <w:webHidden/>
          </w:rPr>
          <w:fldChar w:fldCharType="begin"/>
        </w:r>
        <w:r>
          <w:rPr>
            <w:noProof/>
            <w:webHidden/>
          </w:rPr>
          <w:instrText xml:space="preserve"> PAGEREF _Toc218672114 \h </w:instrText>
        </w:r>
        <w:r>
          <w:rPr>
            <w:noProof/>
            <w:webHidden/>
          </w:rPr>
        </w:r>
        <w:r>
          <w:rPr>
            <w:noProof/>
            <w:webHidden/>
          </w:rPr>
          <w:fldChar w:fldCharType="separate"/>
        </w:r>
        <w:r>
          <w:rPr>
            <w:noProof/>
            <w:webHidden/>
          </w:rPr>
          <w:t>10</w:t>
        </w:r>
        <w:r>
          <w:rPr>
            <w:noProof/>
            <w:webHidden/>
          </w:rPr>
          <w:fldChar w:fldCharType="end"/>
        </w:r>
      </w:hyperlink>
    </w:p>
    <w:p w14:paraId="7A3D26EB" w14:textId="77777777" w:rsidR="007B4704" w:rsidRPr="00743E3F" w:rsidRDefault="007B4704">
      <w:pPr>
        <w:pStyle w:val="Sommario3"/>
        <w:tabs>
          <w:tab w:val="right" w:leader="dot" w:pos="9628"/>
        </w:tabs>
        <w:rPr>
          <w:rFonts w:eastAsia="Times New Roman"/>
          <w:noProof/>
          <w:kern w:val="2"/>
          <w:sz w:val="24"/>
          <w:szCs w:val="24"/>
        </w:rPr>
      </w:pPr>
      <w:hyperlink w:anchor="_Toc218672115" w:history="1">
        <w:r w:rsidRPr="004E6598">
          <w:rPr>
            <w:rStyle w:val="Collegamentoipertestuale"/>
            <w:rFonts w:ascii="Bookman Old Style" w:hAnsi="Bookman Old Style"/>
            <w:noProof/>
          </w:rPr>
          <w:t>PARTE III- CONCILIAZIONE AGEVOLATA DEI RICORSI</w:t>
        </w:r>
        <w:r>
          <w:rPr>
            <w:noProof/>
            <w:webHidden/>
          </w:rPr>
          <w:tab/>
        </w:r>
        <w:r>
          <w:rPr>
            <w:noProof/>
            <w:webHidden/>
          </w:rPr>
          <w:fldChar w:fldCharType="begin"/>
        </w:r>
        <w:r>
          <w:rPr>
            <w:noProof/>
            <w:webHidden/>
          </w:rPr>
          <w:instrText xml:space="preserve"> PAGEREF _Toc218672115 \h </w:instrText>
        </w:r>
        <w:r>
          <w:rPr>
            <w:noProof/>
            <w:webHidden/>
          </w:rPr>
        </w:r>
        <w:r>
          <w:rPr>
            <w:noProof/>
            <w:webHidden/>
          </w:rPr>
          <w:fldChar w:fldCharType="separate"/>
        </w:r>
        <w:r>
          <w:rPr>
            <w:noProof/>
            <w:webHidden/>
          </w:rPr>
          <w:t>11</w:t>
        </w:r>
        <w:r>
          <w:rPr>
            <w:noProof/>
            <w:webHidden/>
          </w:rPr>
          <w:fldChar w:fldCharType="end"/>
        </w:r>
      </w:hyperlink>
    </w:p>
    <w:p w14:paraId="170AF34B" w14:textId="77777777" w:rsidR="007B4704" w:rsidRPr="00743E3F" w:rsidRDefault="007B4704">
      <w:pPr>
        <w:pStyle w:val="Sommario3"/>
        <w:tabs>
          <w:tab w:val="right" w:leader="dot" w:pos="9628"/>
        </w:tabs>
        <w:rPr>
          <w:rFonts w:eastAsia="Times New Roman"/>
          <w:noProof/>
          <w:kern w:val="2"/>
          <w:sz w:val="24"/>
          <w:szCs w:val="24"/>
        </w:rPr>
      </w:pPr>
      <w:hyperlink w:anchor="_Toc218672116" w:history="1">
        <w:r w:rsidRPr="004E6598">
          <w:rPr>
            <w:rStyle w:val="Collegamentoipertestuale"/>
            <w:rFonts w:ascii="Bookman Old Style" w:hAnsi="Bookman Old Style"/>
            <w:noProof/>
          </w:rPr>
          <w:t xml:space="preserve">Articolo 1 - </w:t>
        </w:r>
        <w:r w:rsidRPr="004E6598">
          <w:rPr>
            <w:rStyle w:val="Collegamentoipertestuale"/>
            <w:rFonts w:ascii="Bookman Old Style" w:hAnsi="Bookman Old Style"/>
            <w:iCs/>
            <w:noProof/>
          </w:rPr>
          <w:t>Oggetto del Regolamento</w:t>
        </w:r>
        <w:r>
          <w:rPr>
            <w:noProof/>
            <w:webHidden/>
          </w:rPr>
          <w:tab/>
        </w:r>
        <w:r>
          <w:rPr>
            <w:noProof/>
            <w:webHidden/>
          </w:rPr>
          <w:fldChar w:fldCharType="begin"/>
        </w:r>
        <w:r>
          <w:rPr>
            <w:noProof/>
            <w:webHidden/>
          </w:rPr>
          <w:instrText xml:space="preserve"> PAGEREF _Toc218672116 \h </w:instrText>
        </w:r>
        <w:r>
          <w:rPr>
            <w:noProof/>
            <w:webHidden/>
          </w:rPr>
        </w:r>
        <w:r>
          <w:rPr>
            <w:noProof/>
            <w:webHidden/>
          </w:rPr>
          <w:fldChar w:fldCharType="separate"/>
        </w:r>
        <w:r>
          <w:rPr>
            <w:noProof/>
            <w:webHidden/>
          </w:rPr>
          <w:t>11</w:t>
        </w:r>
        <w:r>
          <w:rPr>
            <w:noProof/>
            <w:webHidden/>
          </w:rPr>
          <w:fldChar w:fldCharType="end"/>
        </w:r>
      </w:hyperlink>
    </w:p>
    <w:p w14:paraId="1A2449B5" w14:textId="77777777" w:rsidR="007B4704" w:rsidRPr="00743E3F" w:rsidRDefault="007B4704">
      <w:pPr>
        <w:pStyle w:val="Sommario3"/>
        <w:tabs>
          <w:tab w:val="right" w:leader="dot" w:pos="9628"/>
        </w:tabs>
        <w:rPr>
          <w:rFonts w:eastAsia="Times New Roman"/>
          <w:noProof/>
          <w:kern w:val="2"/>
          <w:sz w:val="24"/>
          <w:szCs w:val="24"/>
        </w:rPr>
      </w:pPr>
      <w:hyperlink w:anchor="_Toc218672117" w:history="1">
        <w:r w:rsidRPr="004E6598">
          <w:rPr>
            <w:rStyle w:val="Collegamentoipertestuale"/>
            <w:rFonts w:ascii="Bookman Old Style" w:hAnsi="Bookman Old Style"/>
            <w:noProof/>
          </w:rPr>
          <w:t>Articolo 2 – Oggetto della definizione agevolata</w:t>
        </w:r>
        <w:r>
          <w:rPr>
            <w:noProof/>
            <w:webHidden/>
          </w:rPr>
          <w:tab/>
        </w:r>
        <w:r>
          <w:rPr>
            <w:noProof/>
            <w:webHidden/>
          </w:rPr>
          <w:fldChar w:fldCharType="begin"/>
        </w:r>
        <w:r>
          <w:rPr>
            <w:noProof/>
            <w:webHidden/>
          </w:rPr>
          <w:instrText xml:space="preserve"> PAGEREF _Toc218672117 \h </w:instrText>
        </w:r>
        <w:r>
          <w:rPr>
            <w:noProof/>
            <w:webHidden/>
          </w:rPr>
        </w:r>
        <w:r>
          <w:rPr>
            <w:noProof/>
            <w:webHidden/>
          </w:rPr>
          <w:fldChar w:fldCharType="separate"/>
        </w:r>
        <w:r>
          <w:rPr>
            <w:noProof/>
            <w:webHidden/>
          </w:rPr>
          <w:t>11</w:t>
        </w:r>
        <w:r>
          <w:rPr>
            <w:noProof/>
            <w:webHidden/>
          </w:rPr>
          <w:fldChar w:fldCharType="end"/>
        </w:r>
      </w:hyperlink>
    </w:p>
    <w:p w14:paraId="7D2C66D6" w14:textId="77777777" w:rsidR="007B4704" w:rsidRPr="00743E3F" w:rsidRDefault="007B4704">
      <w:pPr>
        <w:pStyle w:val="Sommario3"/>
        <w:tabs>
          <w:tab w:val="right" w:leader="dot" w:pos="9628"/>
        </w:tabs>
        <w:rPr>
          <w:rFonts w:eastAsia="Times New Roman"/>
          <w:noProof/>
          <w:kern w:val="2"/>
          <w:sz w:val="24"/>
          <w:szCs w:val="24"/>
        </w:rPr>
      </w:pPr>
      <w:hyperlink w:anchor="_Toc218672118" w:history="1">
        <w:r w:rsidRPr="004E6598">
          <w:rPr>
            <w:rStyle w:val="Collegamentoipertestuale"/>
            <w:rFonts w:ascii="Bookman Old Style" w:hAnsi="Bookman Old Style"/>
            <w:noProof/>
          </w:rPr>
          <w:t>Articolo 3 – Conciliazione agevolata</w:t>
        </w:r>
        <w:r>
          <w:rPr>
            <w:noProof/>
            <w:webHidden/>
          </w:rPr>
          <w:tab/>
        </w:r>
        <w:r>
          <w:rPr>
            <w:noProof/>
            <w:webHidden/>
          </w:rPr>
          <w:fldChar w:fldCharType="begin"/>
        </w:r>
        <w:r>
          <w:rPr>
            <w:noProof/>
            <w:webHidden/>
          </w:rPr>
          <w:instrText xml:space="preserve"> PAGEREF _Toc218672118 \h </w:instrText>
        </w:r>
        <w:r>
          <w:rPr>
            <w:noProof/>
            <w:webHidden/>
          </w:rPr>
        </w:r>
        <w:r>
          <w:rPr>
            <w:noProof/>
            <w:webHidden/>
          </w:rPr>
          <w:fldChar w:fldCharType="separate"/>
        </w:r>
        <w:r>
          <w:rPr>
            <w:noProof/>
            <w:webHidden/>
          </w:rPr>
          <w:t>11</w:t>
        </w:r>
        <w:r>
          <w:rPr>
            <w:noProof/>
            <w:webHidden/>
          </w:rPr>
          <w:fldChar w:fldCharType="end"/>
        </w:r>
      </w:hyperlink>
    </w:p>
    <w:p w14:paraId="2B7227E3" w14:textId="77777777" w:rsidR="007B4704" w:rsidRPr="00743E3F" w:rsidRDefault="007B4704">
      <w:pPr>
        <w:pStyle w:val="Sommario3"/>
        <w:tabs>
          <w:tab w:val="right" w:leader="dot" w:pos="9628"/>
        </w:tabs>
        <w:rPr>
          <w:rFonts w:eastAsia="Times New Roman"/>
          <w:noProof/>
          <w:kern w:val="2"/>
          <w:sz w:val="24"/>
          <w:szCs w:val="24"/>
        </w:rPr>
      </w:pPr>
      <w:hyperlink w:anchor="_Toc218672119" w:history="1">
        <w:r w:rsidRPr="004E6598">
          <w:rPr>
            <w:rStyle w:val="Collegamentoipertestuale"/>
            <w:rFonts w:ascii="Bookman Old Style" w:hAnsi="Bookman Old Style"/>
            <w:noProof/>
          </w:rPr>
          <w:t xml:space="preserve">Articolo 4 – </w:t>
        </w:r>
        <w:r w:rsidRPr="004E6598">
          <w:rPr>
            <w:rStyle w:val="Collegamentoipertestuale"/>
            <w:rFonts w:ascii="Bookman Old Style" w:hAnsi="Bookman Old Style"/>
            <w:iCs/>
            <w:noProof/>
          </w:rPr>
          <w:t>Entrata in vigore</w:t>
        </w:r>
        <w:r>
          <w:rPr>
            <w:noProof/>
            <w:webHidden/>
          </w:rPr>
          <w:tab/>
        </w:r>
        <w:r>
          <w:rPr>
            <w:noProof/>
            <w:webHidden/>
          </w:rPr>
          <w:fldChar w:fldCharType="begin"/>
        </w:r>
        <w:r>
          <w:rPr>
            <w:noProof/>
            <w:webHidden/>
          </w:rPr>
          <w:instrText xml:space="preserve"> PAGEREF _Toc218672119 \h </w:instrText>
        </w:r>
        <w:r>
          <w:rPr>
            <w:noProof/>
            <w:webHidden/>
          </w:rPr>
        </w:r>
        <w:r>
          <w:rPr>
            <w:noProof/>
            <w:webHidden/>
          </w:rPr>
          <w:fldChar w:fldCharType="separate"/>
        </w:r>
        <w:r>
          <w:rPr>
            <w:noProof/>
            <w:webHidden/>
          </w:rPr>
          <w:t>12</w:t>
        </w:r>
        <w:r>
          <w:rPr>
            <w:noProof/>
            <w:webHidden/>
          </w:rPr>
          <w:fldChar w:fldCharType="end"/>
        </w:r>
      </w:hyperlink>
    </w:p>
    <w:p w14:paraId="55710AF4" w14:textId="77777777" w:rsidR="007B4704" w:rsidRPr="00743E3F" w:rsidRDefault="007B4704">
      <w:pPr>
        <w:pStyle w:val="Sommario3"/>
        <w:tabs>
          <w:tab w:val="right" w:leader="dot" w:pos="9628"/>
        </w:tabs>
        <w:rPr>
          <w:rFonts w:eastAsia="Times New Roman"/>
          <w:noProof/>
          <w:kern w:val="2"/>
          <w:sz w:val="24"/>
          <w:szCs w:val="24"/>
        </w:rPr>
      </w:pPr>
      <w:hyperlink w:anchor="_Toc218672120" w:history="1">
        <w:r w:rsidRPr="004E6598">
          <w:rPr>
            <w:rStyle w:val="Collegamentoipertestuale"/>
            <w:rFonts w:ascii="Bookman Old Style" w:hAnsi="Bookman Old Style"/>
            <w:noProof/>
          </w:rPr>
          <w:t>PARTE IV- REGOLARIZZAZIONE OMESSI VERSAMENTI RATEALI</w:t>
        </w:r>
        <w:r>
          <w:rPr>
            <w:noProof/>
            <w:webHidden/>
          </w:rPr>
          <w:tab/>
        </w:r>
        <w:r>
          <w:rPr>
            <w:noProof/>
            <w:webHidden/>
          </w:rPr>
          <w:fldChar w:fldCharType="begin"/>
        </w:r>
        <w:r>
          <w:rPr>
            <w:noProof/>
            <w:webHidden/>
          </w:rPr>
          <w:instrText xml:space="preserve"> PAGEREF _Toc218672120 \h </w:instrText>
        </w:r>
        <w:r>
          <w:rPr>
            <w:noProof/>
            <w:webHidden/>
          </w:rPr>
        </w:r>
        <w:r>
          <w:rPr>
            <w:noProof/>
            <w:webHidden/>
          </w:rPr>
          <w:fldChar w:fldCharType="separate"/>
        </w:r>
        <w:r>
          <w:rPr>
            <w:noProof/>
            <w:webHidden/>
          </w:rPr>
          <w:t>13</w:t>
        </w:r>
        <w:r>
          <w:rPr>
            <w:noProof/>
            <w:webHidden/>
          </w:rPr>
          <w:fldChar w:fldCharType="end"/>
        </w:r>
      </w:hyperlink>
    </w:p>
    <w:p w14:paraId="6CBE0429" w14:textId="77777777" w:rsidR="007B4704" w:rsidRPr="00743E3F" w:rsidRDefault="007B4704">
      <w:pPr>
        <w:pStyle w:val="Sommario3"/>
        <w:tabs>
          <w:tab w:val="right" w:leader="dot" w:pos="9628"/>
        </w:tabs>
        <w:rPr>
          <w:rFonts w:eastAsia="Times New Roman"/>
          <w:noProof/>
          <w:kern w:val="2"/>
          <w:sz w:val="24"/>
          <w:szCs w:val="24"/>
        </w:rPr>
      </w:pPr>
      <w:hyperlink w:anchor="_Toc218672121" w:history="1">
        <w:r w:rsidRPr="004E6598">
          <w:rPr>
            <w:rStyle w:val="Collegamentoipertestuale"/>
            <w:rFonts w:ascii="Bookman Old Style" w:hAnsi="Bookman Old Style"/>
            <w:noProof/>
          </w:rPr>
          <w:t xml:space="preserve">Articolo 1 - </w:t>
        </w:r>
        <w:r w:rsidRPr="004E6598">
          <w:rPr>
            <w:rStyle w:val="Collegamentoipertestuale"/>
            <w:rFonts w:ascii="Bookman Old Style" w:hAnsi="Bookman Old Style"/>
            <w:iCs/>
            <w:noProof/>
          </w:rPr>
          <w:t>Oggetto del Regolamento</w:t>
        </w:r>
        <w:r>
          <w:rPr>
            <w:noProof/>
            <w:webHidden/>
          </w:rPr>
          <w:tab/>
        </w:r>
        <w:r>
          <w:rPr>
            <w:noProof/>
            <w:webHidden/>
          </w:rPr>
          <w:fldChar w:fldCharType="begin"/>
        </w:r>
        <w:r>
          <w:rPr>
            <w:noProof/>
            <w:webHidden/>
          </w:rPr>
          <w:instrText xml:space="preserve"> PAGEREF _Toc218672121 \h </w:instrText>
        </w:r>
        <w:r>
          <w:rPr>
            <w:noProof/>
            <w:webHidden/>
          </w:rPr>
        </w:r>
        <w:r>
          <w:rPr>
            <w:noProof/>
            <w:webHidden/>
          </w:rPr>
          <w:fldChar w:fldCharType="separate"/>
        </w:r>
        <w:r>
          <w:rPr>
            <w:noProof/>
            <w:webHidden/>
          </w:rPr>
          <w:t>13</w:t>
        </w:r>
        <w:r>
          <w:rPr>
            <w:noProof/>
            <w:webHidden/>
          </w:rPr>
          <w:fldChar w:fldCharType="end"/>
        </w:r>
      </w:hyperlink>
    </w:p>
    <w:p w14:paraId="50B28AB6" w14:textId="77777777" w:rsidR="007B4704" w:rsidRPr="00743E3F" w:rsidRDefault="007B4704">
      <w:pPr>
        <w:pStyle w:val="Sommario3"/>
        <w:tabs>
          <w:tab w:val="right" w:leader="dot" w:pos="9628"/>
        </w:tabs>
        <w:rPr>
          <w:rFonts w:eastAsia="Times New Roman"/>
          <w:noProof/>
          <w:kern w:val="2"/>
          <w:sz w:val="24"/>
          <w:szCs w:val="24"/>
        </w:rPr>
      </w:pPr>
      <w:hyperlink w:anchor="_Toc218672122" w:history="1">
        <w:r w:rsidRPr="004E6598">
          <w:rPr>
            <w:rStyle w:val="Collegamentoipertestuale"/>
            <w:rFonts w:ascii="Bookman Old Style" w:hAnsi="Bookman Old Style"/>
            <w:noProof/>
          </w:rPr>
          <w:t>Articolo 2 – Oggetto della definizione agevolata</w:t>
        </w:r>
        <w:r>
          <w:rPr>
            <w:noProof/>
            <w:webHidden/>
          </w:rPr>
          <w:tab/>
        </w:r>
        <w:r>
          <w:rPr>
            <w:noProof/>
            <w:webHidden/>
          </w:rPr>
          <w:fldChar w:fldCharType="begin"/>
        </w:r>
        <w:r>
          <w:rPr>
            <w:noProof/>
            <w:webHidden/>
          </w:rPr>
          <w:instrText xml:space="preserve"> PAGEREF _Toc218672122 \h </w:instrText>
        </w:r>
        <w:r>
          <w:rPr>
            <w:noProof/>
            <w:webHidden/>
          </w:rPr>
        </w:r>
        <w:r>
          <w:rPr>
            <w:noProof/>
            <w:webHidden/>
          </w:rPr>
          <w:fldChar w:fldCharType="separate"/>
        </w:r>
        <w:r>
          <w:rPr>
            <w:noProof/>
            <w:webHidden/>
          </w:rPr>
          <w:t>13</w:t>
        </w:r>
        <w:r>
          <w:rPr>
            <w:noProof/>
            <w:webHidden/>
          </w:rPr>
          <w:fldChar w:fldCharType="end"/>
        </w:r>
      </w:hyperlink>
    </w:p>
    <w:p w14:paraId="6C803EA8" w14:textId="77777777" w:rsidR="007B4704" w:rsidRPr="00743E3F" w:rsidRDefault="007B4704">
      <w:pPr>
        <w:pStyle w:val="Sommario3"/>
        <w:tabs>
          <w:tab w:val="right" w:leader="dot" w:pos="9628"/>
        </w:tabs>
        <w:rPr>
          <w:rFonts w:eastAsia="Times New Roman"/>
          <w:noProof/>
          <w:kern w:val="2"/>
          <w:sz w:val="24"/>
          <w:szCs w:val="24"/>
        </w:rPr>
      </w:pPr>
      <w:hyperlink w:anchor="_Toc218672123" w:history="1">
        <w:r w:rsidRPr="004E6598">
          <w:rPr>
            <w:rStyle w:val="Collegamentoipertestuale"/>
            <w:rFonts w:ascii="Bookman Old Style" w:hAnsi="Bookman Old Style"/>
            <w:noProof/>
          </w:rPr>
          <w:t>Articolo 3 – Perfezionamento della regolarizzazione</w:t>
        </w:r>
        <w:r>
          <w:rPr>
            <w:noProof/>
            <w:webHidden/>
          </w:rPr>
          <w:tab/>
        </w:r>
        <w:r>
          <w:rPr>
            <w:noProof/>
            <w:webHidden/>
          </w:rPr>
          <w:fldChar w:fldCharType="begin"/>
        </w:r>
        <w:r>
          <w:rPr>
            <w:noProof/>
            <w:webHidden/>
          </w:rPr>
          <w:instrText xml:space="preserve"> PAGEREF _Toc218672123 \h </w:instrText>
        </w:r>
        <w:r>
          <w:rPr>
            <w:noProof/>
            <w:webHidden/>
          </w:rPr>
        </w:r>
        <w:r>
          <w:rPr>
            <w:noProof/>
            <w:webHidden/>
          </w:rPr>
          <w:fldChar w:fldCharType="separate"/>
        </w:r>
        <w:r>
          <w:rPr>
            <w:noProof/>
            <w:webHidden/>
          </w:rPr>
          <w:t>13</w:t>
        </w:r>
        <w:r>
          <w:rPr>
            <w:noProof/>
            <w:webHidden/>
          </w:rPr>
          <w:fldChar w:fldCharType="end"/>
        </w:r>
      </w:hyperlink>
    </w:p>
    <w:p w14:paraId="0EF0AB5F" w14:textId="77777777" w:rsidR="007B4704" w:rsidRPr="00743E3F" w:rsidRDefault="007B4704">
      <w:pPr>
        <w:pStyle w:val="Sommario3"/>
        <w:tabs>
          <w:tab w:val="right" w:leader="dot" w:pos="9628"/>
        </w:tabs>
        <w:rPr>
          <w:rFonts w:eastAsia="Times New Roman"/>
          <w:noProof/>
          <w:kern w:val="2"/>
          <w:sz w:val="24"/>
          <w:szCs w:val="24"/>
        </w:rPr>
      </w:pPr>
      <w:hyperlink w:anchor="_Toc218672124" w:history="1">
        <w:r w:rsidRPr="004E6598">
          <w:rPr>
            <w:rStyle w:val="Collegamentoipertestuale"/>
            <w:rFonts w:ascii="Bookman Old Style" w:hAnsi="Bookman Old Style"/>
            <w:noProof/>
          </w:rPr>
          <w:t xml:space="preserve">Articolo 4 – </w:t>
        </w:r>
        <w:r w:rsidRPr="004E6598">
          <w:rPr>
            <w:rStyle w:val="Collegamentoipertestuale"/>
            <w:rFonts w:ascii="Bookman Old Style" w:hAnsi="Bookman Old Style"/>
            <w:iCs/>
            <w:noProof/>
          </w:rPr>
          <w:t>Entrata in vigore</w:t>
        </w:r>
        <w:r>
          <w:rPr>
            <w:noProof/>
            <w:webHidden/>
          </w:rPr>
          <w:tab/>
        </w:r>
        <w:r>
          <w:rPr>
            <w:noProof/>
            <w:webHidden/>
          </w:rPr>
          <w:fldChar w:fldCharType="begin"/>
        </w:r>
        <w:r>
          <w:rPr>
            <w:noProof/>
            <w:webHidden/>
          </w:rPr>
          <w:instrText xml:space="preserve"> PAGEREF _Toc218672124 \h </w:instrText>
        </w:r>
        <w:r>
          <w:rPr>
            <w:noProof/>
            <w:webHidden/>
          </w:rPr>
        </w:r>
        <w:r>
          <w:rPr>
            <w:noProof/>
            <w:webHidden/>
          </w:rPr>
          <w:fldChar w:fldCharType="separate"/>
        </w:r>
        <w:r>
          <w:rPr>
            <w:noProof/>
            <w:webHidden/>
          </w:rPr>
          <w:t>14</w:t>
        </w:r>
        <w:r>
          <w:rPr>
            <w:noProof/>
            <w:webHidden/>
          </w:rPr>
          <w:fldChar w:fldCharType="end"/>
        </w:r>
      </w:hyperlink>
    </w:p>
    <w:p w14:paraId="41EB0433" w14:textId="77777777" w:rsidR="007B4704" w:rsidRPr="00743E3F" w:rsidRDefault="007B4704">
      <w:pPr>
        <w:pStyle w:val="Sommario3"/>
        <w:tabs>
          <w:tab w:val="right" w:leader="dot" w:pos="9628"/>
        </w:tabs>
        <w:rPr>
          <w:rFonts w:eastAsia="Times New Roman"/>
          <w:noProof/>
          <w:kern w:val="2"/>
          <w:sz w:val="24"/>
          <w:szCs w:val="24"/>
        </w:rPr>
      </w:pPr>
      <w:hyperlink w:anchor="_Toc218672125" w:history="1">
        <w:r w:rsidRPr="004E6598">
          <w:rPr>
            <w:rStyle w:val="Collegamentoipertestuale"/>
            <w:rFonts w:ascii="Bookman Old Style" w:hAnsi="Bookman Old Style"/>
            <w:noProof/>
          </w:rPr>
          <w:t>PARTE V- REGOLARIZZAZIONE OMESSI VERSAMENTI E DICHIARAZIONI</w:t>
        </w:r>
        <w:r>
          <w:rPr>
            <w:noProof/>
            <w:webHidden/>
          </w:rPr>
          <w:tab/>
        </w:r>
        <w:r>
          <w:rPr>
            <w:noProof/>
            <w:webHidden/>
          </w:rPr>
          <w:fldChar w:fldCharType="begin"/>
        </w:r>
        <w:r>
          <w:rPr>
            <w:noProof/>
            <w:webHidden/>
          </w:rPr>
          <w:instrText xml:space="preserve"> PAGEREF _Toc218672125 \h </w:instrText>
        </w:r>
        <w:r>
          <w:rPr>
            <w:noProof/>
            <w:webHidden/>
          </w:rPr>
        </w:r>
        <w:r>
          <w:rPr>
            <w:noProof/>
            <w:webHidden/>
          </w:rPr>
          <w:fldChar w:fldCharType="separate"/>
        </w:r>
        <w:r>
          <w:rPr>
            <w:noProof/>
            <w:webHidden/>
          </w:rPr>
          <w:t>15</w:t>
        </w:r>
        <w:r>
          <w:rPr>
            <w:noProof/>
            <w:webHidden/>
          </w:rPr>
          <w:fldChar w:fldCharType="end"/>
        </w:r>
      </w:hyperlink>
    </w:p>
    <w:p w14:paraId="700CE434" w14:textId="77777777" w:rsidR="007B4704" w:rsidRPr="00743E3F" w:rsidRDefault="007B4704">
      <w:pPr>
        <w:pStyle w:val="Sommario3"/>
        <w:tabs>
          <w:tab w:val="right" w:leader="dot" w:pos="9628"/>
        </w:tabs>
        <w:rPr>
          <w:rFonts w:eastAsia="Times New Roman"/>
          <w:noProof/>
          <w:kern w:val="2"/>
          <w:sz w:val="24"/>
          <w:szCs w:val="24"/>
        </w:rPr>
      </w:pPr>
      <w:hyperlink w:anchor="_Toc218672126" w:history="1">
        <w:r w:rsidRPr="004E6598">
          <w:rPr>
            <w:rStyle w:val="Collegamentoipertestuale"/>
            <w:rFonts w:ascii="Bookman Old Style" w:hAnsi="Bookman Old Style"/>
            <w:noProof/>
          </w:rPr>
          <w:t>Articolo 1 - Oggetto del Regolamento</w:t>
        </w:r>
        <w:r>
          <w:rPr>
            <w:noProof/>
            <w:webHidden/>
          </w:rPr>
          <w:tab/>
        </w:r>
        <w:r>
          <w:rPr>
            <w:noProof/>
            <w:webHidden/>
          </w:rPr>
          <w:fldChar w:fldCharType="begin"/>
        </w:r>
        <w:r>
          <w:rPr>
            <w:noProof/>
            <w:webHidden/>
          </w:rPr>
          <w:instrText xml:space="preserve"> PAGEREF _Toc218672126 \h </w:instrText>
        </w:r>
        <w:r>
          <w:rPr>
            <w:noProof/>
            <w:webHidden/>
          </w:rPr>
        </w:r>
        <w:r>
          <w:rPr>
            <w:noProof/>
            <w:webHidden/>
          </w:rPr>
          <w:fldChar w:fldCharType="separate"/>
        </w:r>
        <w:r>
          <w:rPr>
            <w:noProof/>
            <w:webHidden/>
          </w:rPr>
          <w:t>15</w:t>
        </w:r>
        <w:r>
          <w:rPr>
            <w:noProof/>
            <w:webHidden/>
          </w:rPr>
          <w:fldChar w:fldCharType="end"/>
        </w:r>
      </w:hyperlink>
    </w:p>
    <w:p w14:paraId="399B8A43" w14:textId="77777777" w:rsidR="007B4704" w:rsidRPr="00743E3F" w:rsidRDefault="007B4704">
      <w:pPr>
        <w:pStyle w:val="Sommario3"/>
        <w:tabs>
          <w:tab w:val="right" w:leader="dot" w:pos="9628"/>
        </w:tabs>
        <w:rPr>
          <w:rFonts w:eastAsia="Times New Roman"/>
          <w:noProof/>
          <w:kern w:val="2"/>
          <w:sz w:val="24"/>
          <w:szCs w:val="24"/>
        </w:rPr>
      </w:pPr>
      <w:hyperlink w:anchor="_Toc218672127" w:history="1">
        <w:r w:rsidRPr="004E6598">
          <w:rPr>
            <w:rStyle w:val="Collegamentoipertestuale"/>
            <w:rFonts w:ascii="Bookman Old Style" w:hAnsi="Bookman Old Style"/>
            <w:noProof/>
          </w:rPr>
          <w:t>Articolo 2 – Oggetto della definizione agevolata</w:t>
        </w:r>
        <w:r>
          <w:rPr>
            <w:noProof/>
            <w:webHidden/>
          </w:rPr>
          <w:tab/>
        </w:r>
        <w:r>
          <w:rPr>
            <w:noProof/>
            <w:webHidden/>
          </w:rPr>
          <w:fldChar w:fldCharType="begin"/>
        </w:r>
        <w:r>
          <w:rPr>
            <w:noProof/>
            <w:webHidden/>
          </w:rPr>
          <w:instrText xml:space="preserve"> PAGEREF _Toc218672127 \h </w:instrText>
        </w:r>
        <w:r>
          <w:rPr>
            <w:noProof/>
            <w:webHidden/>
          </w:rPr>
        </w:r>
        <w:r>
          <w:rPr>
            <w:noProof/>
            <w:webHidden/>
          </w:rPr>
          <w:fldChar w:fldCharType="separate"/>
        </w:r>
        <w:r>
          <w:rPr>
            <w:noProof/>
            <w:webHidden/>
          </w:rPr>
          <w:t>15</w:t>
        </w:r>
        <w:r>
          <w:rPr>
            <w:noProof/>
            <w:webHidden/>
          </w:rPr>
          <w:fldChar w:fldCharType="end"/>
        </w:r>
      </w:hyperlink>
    </w:p>
    <w:p w14:paraId="1F14116C" w14:textId="77777777" w:rsidR="007B4704" w:rsidRPr="00743E3F" w:rsidRDefault="007B4704">
      <w:pPr>
        <w:pStyle w:val="Sommario3"/>
        <w:tabs>
          <w:tab w:val="right" w:leader="dot" w:pos="9628"/>
        </w:tabs>
        <w:rPr>
          <w:rFonts w:eastAsia="Times New Roman"/>
          <w:noProof/>
          <w:kern w:val="2"/>
          <w:sz w:val="24"/>
          <w:szCs w:val="24"/>
        </w:rPr>
      </w:pPr>
      <w:hyperlink w:anchor="_Toc218672128" w:history="1">
        <w:r w:rsidRPr="004E6598">
          <w:rPr>
            <w:rStyle w:val="Collegamentoipertestuale"/>
            <w:rFonts w:ascii="Bookman Old Style" w:hAnsi="Bookman Old Style"/>
            <w:noProof/>
          </w:rPr>
          <w:t xml:space="preserve">Articolo 3 – </w:t>
        </w:r>
        <w:r w:rsidRPr="004E6598">
          <w:rPr>
            <w:rStyle w:val="Collegamentoipertestuale"/>
            <w:rFonts w:ascii="Bookman Old Style" w:hAnsi="Bookman Old Style"/>
            <w:iCs/>
            <w:noProof/>
          </w:rPr>
          <w:t>Dichiarazione di adesione alla definizione agevolata</w:t>
        </w:r>
        <w:r>
          <w:rPr>
            <w:noProof/>
            <w:webHidden/>
          </w:rPr>
          <w:tab/>
        </w:r>
        <w:r>
          <w:rPr>
            <w:noProof/>
            <w:webHidden/>
          </w:rPr>
          <w:fldChar w:fldCharType="begin"/>
        </w:r>
        <w:r>
          <w:rPr>
            <w:noProof/>
            <w:webHidden/>
          </w:rPr>
          <w:instrText xml:space="preserve"> PAGEREF _Toc218672128 \h </w:instrText>
        </w:r>
        <w:r>
          <w:rPr>
            <w:noProof/>
            <w:webHidden/>
          </w:rPr>
        </w:r>
        <w:r>
          <w:rPr>
            <w:noProof/>
            <w:webHidden/>
          </w:rPr>
          <w:fldChar w:fldCharType="separate"/>
        </w:r>
        <w:r>
          <w:rPr>
            <w:noProof/>
            <w:webHidden/>
          </w:rPr>
          <w:t>16</w:t>
        </w:r>
        <w:r>
          <w:rPr>
            <w:noProof/>
            <w:webHidden/>
          </w:rPr>
          <w:fldChar w:fldCharType="end"/>
        </w:r>
      </w:hyperlink>
    </w:p>
    <w:p w14:paraId="5FED10FB" w14:textId="77777777" w:rsidR="007B4704" w:rsidRPr="00743E3F" w:rsidRDefault="007B4704">
      <w:pPr>
        <w:pStyle w:val="Sommario3"/>
        <w:tabs>
          <w:tab w:val="right" w:leader="dot" w:pos="9628"/>
        </w:tabs>
        <w:rPr>
          <w:rFonts w:eastAsia="Times New Roman"/>
          <w:noProof/>
          <w:kern w:val="2"/>
          <w:sz w:val="24"/>
          <w:szCs w:val="24"/>
        </w:rPr>
      </w:pPr>
      <w:hyperlink w:anchor="_Toc218672129" w:history="1">
        <w:r w:rsidRPr="004E6598">
          <w:rPr>
            <w:rStyle w:val="Collegamentoipertestuale"/>
            <w:rFonts w:ascii="Bookman Old Style" w:hAnsi="Bookman Old Style"/>
            <w:noProof/>
          </w:rPr>
          <w:t xml:space="preserve">Articolo 4 </w:t>
        </w:r>
        <w:r w:rsidRPr="004E6598">
          <w:rPr>
            <w:rStyle w:val="Collegamentoipertestuale"/>
            <w:rFonts w:ascii="Bookman Old Style" w:hAnsi="Bookman Old Style"/>
            <w:i/>
            <w:noProof/>
          </w:rPr>
          <w:t xml:space="preserve">– </w:t>
        </w:r>
        <w:r w:rsidRPr="004E6598">
          <w:rPr>
            <w:rStyle w:val="Collegamentoipertestuale"/>
            <w:rFonts w:ascii="Bookman Old Style" w:hAnsi="Bookman Old Style"/>
            <w:iCs/>
            <w:noProof/>
          </w:rPr>
          <w:t>Effetti della definizione agevolata</w:t>
        </w:r>
        <w:r>
          <w:rPr>
            <w:noProof/>
            <w:webHidden/>
          </w:rPr>
          <w:tab/>
        </w:r>
        <w:r>
          <w:rPr>
            <w:noProof/>
            <w:webHidden/>
          </w:rPr>
          <w:fldChar w:fldCharType="begin"/>
        </w:r>
        <w:r>
          <w:rPr>
            <w:noProof/>
            <w:webHidden/>
          </w:rPr>
          <w:instrText xml:space="preserve"> PAGEREF _Toc218672129 \h </w:instrText>
        </w:r>
        <w:r>
          <w:rPr>
            <w:noProof/>
            <w:webHidden/>
          </w:rPr>
        </w:r>
        <w:r>
          <w:rPr>
            <w:noProof/>
            <w:webHidden/>
          </w:rPr>
          <w:fldChar w:fldCharType="separate"/>
        </w:r>
        <w:r>
          <w:rPr>
            <w:noProof/>
            <w:webHidden/>
          </w:rPr>
          <w:t>17</w:t>
        </w:r>
        <w:r>
          <w:rPr>
            <w:noProof/>
            <w:webHidden/>
          </w:rPr>
          <w:fldChar w:fldCharType="end"/>
        </w:r>
      </w:hyperlink>
    </w:p>
    <w:p w14:paraId="24B16898" w14:textId="77777777" w:rsidR="007B4704" w:rsidRPr="00743E3F" w:rsidRDefault="007B4704">
      <w:pPr>
        <w:pStyle w:val="Sommario3"/>
        <w:tabs>
          <w:tab w:val="right" w:leader="dot" w:pos="9628"/>
        </w:tabs>
        <w:rPr>
          <w:rFonts w:eastAsia="Times New Roman"/>
          <w:noProof/>
          <w:kern w:val="2"/>
          <w:sz w:val="24"/>
          <w:szCs w:val="24"/>
        </w:rPr>
      </w:pPr>
      <w:hyperlink w:anchor="_Toc218672130" w:history="1">
        <w:r w:rsidRPr="004E6598">
          <w:rPr>
            <w:rStyle w:val="Collegamentoipertestuale"/>
            <w:rFonts w:ascii="Bookman Old Style" w:hAnsi="Bookman Old Style"/>
            <w:noProof/>
          </w:rPr>
          <w:t xml:space="preserve">Articolo 5 – </w:t>
        </w:r>
        <w:r w:rsidRPr="004E6598">
          <w:rPr>
            <w:rStyle w:val="Collegamentoipertestuale"/>
            <w:rFonts w:ascii="Bookman Old Style" w:hAnsi="Bookman Old Style"/>
            <w:iCs/>
            <w:noProof/>
          </w:rPr>
          <w:t>Entrata in vigore</w:t>
        </w:r>
        <w:r>
          <w:rPr>
            <w:noProof/>
            <w:webHidden/>
          </w:rPr>
          <w:tab/>
        </w:r>
        <w:r>
          <w:rPr>
            <w:noProof/>
            <w:webHidden/>
          </w:rPr>
          <w:fldChar w:fldCharType="begin"/>
        </w:r>
        <w:r>
          <w:rPr>
            <w:noProof/>
            <w:webHidden/>
          </w:rPr>
          <w:instrText xml:space="preserve"> PAGEREF _Toc218672130 \h </w:instrText>
        </w:r>
        <w:r>
          <w:rPr>
            <w:noProof/>
            <w:webHidden/>
          </w:rPr>
        </w:r>
        <w:r>
          <w:rPr>
            <w:noProof/>
            <w:webHidden/>
          </w:rPr>
          <w:fldChar w:fldCharType="separate"/>
        </w:r>
        <w:r>
          <w:rPr>
            <w:noProof/>
            <w:webHidden/>
          </w:rPr>
          <w:t>17</w:t>
        </w:r>
        <w:r>
          <w:rPr>
            <w:noProof/>
            <w:webHidden/>
          </w:rPr>
          <w:fldChar w:fldCharType="end"/>
        </w:r>
      </w:hyperlink>
    </w:p>
    <w:p w14:paraId="450648EA" w14:textId="77777777" w:rsidR="00DF6086" w:rsidRPr="00D23E66" w:rsidRDefault="00DF6086">
      <w:pPr>
        <w:rPr>
          <w:rFonts w:ascii="Bookman Old Style" w:hAnsi="Bookman Old Style"/>
        </w:rPr>
      </w:pPr>
      <w:r w:rsidRPr="002B1C9C">
        <w:rPr>
          <w:rFonts w:ascii="Bookman Old Style" w:hAnsi="Bookman Old Style"/>
          <w:b/>
          <w:bCs/>
        </w:rPr>
        <w:fldChar w:fldCharType="end"/>
      </w:r>
    </w:p>
    <w:p w14:paraId="1D280D9B" w14:textId="77777777" w:rsidR="00DF6086" w:rsidRDefault="00DF6086">
      <w:pPr>
        <w:spacing w:after="120" w:line="288" w:lineRule="auto"/>
        <w:jc w:val="center"/>
        <w:rPr>
          <w:rFonts w:ascii="Bookman Old Style" w:hAnsi="Bookman Old Style"/>
        </w:rPr>
      </w:pPr>
      <w:r w:rsidRPr="00D23E66">
        <w:rPr>
          <w:rFonts w:ascii="Bookman Old Style" w:hAnsi="Bookman Old Style"/>
        </w:rPr>
        <w:br w:type="page"/>
      </w:r>
    </w:p>
    <w:p w14:paraId="249EA98F" w14:textId="77777777" w:rsidR="001926A9" w:rsidRDefault="00EB1087" w:rsidP="001926A9">
      <w:pPr>
        <w:pStyle w:val="Titolo3"/>
        <w:spacing w:after="120" w:line="288" w:lineRule="auto"/>
        <w:rPr>
          <w:rFonts w:ascii="Bookman Old Style" w:hAnsi="Bookman Old Style"/>
        </w:rPr>
      </w:pPr>
      <w:bookmarkStart w:id="0" w:name="_Toc218672096"/>
      <w:r>
        <w:rPr>
          <w:rFonts w:ascii="Bookman Old Style" w:hAnsi="Bookman Old Style"/>
        </w:rPr>
        <w:lastRenderedPageBreak/>
        <w:t xml:space="preserve">PARTE </w:t>
      </w:r>
      <w:r w:rsidR="001926A9">
        <w:rPr>
          <w:rFonts w:ascii="Bookman Old Style" w:hAnsi="Bookman Old Style"/>
        </w:rPr>
        <w:t>I</w:t>
      </w:r>
      <w:r w:rsidR="005136D0">
        <w:rPr>
          <w:rFonts w:ascii="Bookman Old Style" w:hAnsi="Bookman Old Style"/>
        </w:rPr>
        <w:t xml:space="preserve">- </w:t>
      </w:r>
      <w:r w:rsidR="00AA78AC">
        <w:rPr>
          <w:rFonts w:ascii="Bookman Old Style" w:hAnsi="Bookman Old Style"/>
        </w:rPr>
        <w:t>DEFINIZIONE AGEVOLATA ENTRATE IN RISCOSSIONE COATTIVA</w:t>
      </w:r>
      <w:bookmarkEnd w:id="0"/>
    </w:p>
    <w:p w14:paraId="75DB99E7" w14:textId="77777777" w:rsidR="001926A9" w:rsidRPr="00D23E66" w:rsidRDefault="001926A9">
      <w:pPr>
        <w:spacing w:after="120" w:line="288" w:lineRule="auto"/>
        <w:jc w:val="center"/>
        <w:rPr>
          <w:rFonts w:ascii="Bookman Old Style" w:hAnsi="Bookman Old Style"/>
        </w:rPr>
      </w:pPr>
    </w:p>
    <w:p w14:paraId="04AC33A6" w14:textId="77777777" w:rsidR="00DF6086" w:rsidRPr="00D23E66" w:rsidRDefault="00DF6086">
      <w:pPr>
        <w:pStyle w:val="Titolo3"/>
        <w:spacing w:after="120" w:line="288" w:lineRule="auto"/>
        <w:jc w:val="both"/>
        <w:rPr>
          <w:rFonts w:ascii="Bookman Old Style" w:hAnsi="Bookman Old Style"/>
          <w:i/>
          <w:sz w:val="22"/>
          <w:szCs w:val="22"/>
        </w:rPr>
      </w:pPr>
      <w:bookmarkStart w:id="1" w:name="_Toc218672097"/>
      <w:r w:rsidRPr="00D23E66">
        <w:rPr>
          <w:rFonts w:ascii="Bookman Old Style" w:hAnsi="Bookman Old Style"/>
          <w:sz w:val="22"/>
          <w:szCs w:val="22"/>
        </w:rPr>
        <w:t xml:space="preserve">Articolo 1 - </w:t>
      </w:r>
      <w:r w:rsidRPr="00CC47B6">
        <w:rPr>
          <w:rFonts w:ascii="Bookman Old Style" w:hAnsi="Bookman Old Style"/>
          <w:iCs/>
          <w:sz w:val="22"/>
          <w:szCs w:val="22"/>
        </w:rPr>
        <w:t>Oggetto del Regolamento</w:t>
      </w:r>
      <w:r w:rsidR="00B469F7">
        <w:rPr>
          <w:rStyle w:val="Rimandonotaapidipagina"/>
          <w:rFonts w:ascii="Bookman Old Style" w:hAnsi="Bookman Old Style"/>
          <w:i/>
          <w:sz w:val="22"/>
          <w:szCs w:val="22"/>
        </w:rPr>
        <w:footnoteReference w:id="1"/>
      </w:r>
      <w:bookmarkEnd w:id="1"/>
      <w:r w:rsidRPr="00D23E66">
        <w:rPr>
          <w:rFonts w:ascii="Bookman Old Style" w:hAnsi="Bookman Old Style"/>
          <w:i/>
          <w:sz w:val="22"/>
          <w:szCs w:val="22"/>
        </w:rPr>
        <w:t xml:space="preserve"> </w:t>
      </w:r>
    </w:p>
    <w:p w14:paraId="5D461D2D" w14:textId="77777777" w:rsidR="00DF6086"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Il presente regolamento adottato nell'ambito della potestà prevista dall’articolo 52 del decreto legislativo 15 dicembre 1997, n. 446 ed in attuazione dell’articolo </w:t>
      </w:r>
      <w:r w:rsidR="00EB1087">
        <w:rPr>
          <w:rFonts w:ascii="Bookman Old Style" w:hAnsi="Bookman Old Style"/>
          <w:sz w:val="22"/>
          <w:szCs w:val="22"/>
        </w:rPr>
        <w:t>1, commi da 102 a 110 della legge 30 dicembre 2025, n. 199</w:t>
      </w:r>
      <w:r w:rsidR="00475CCF" w:rsidRPr="00D23E66">
        <w:rPr>
          <w:rFonts w:ascii="Bookman Old Style" w:hAnsi="Bookman Old Style"/>
          <w:sz w:val="22"/>
          <w:szCs w:val="22"/>
        </w:rPr>
        <w:t>, dis</w:t>
      </w:r>
      <w:r w:rsidRPr="00D23E66">
        <w:rPr>
          <w:rFonts w:ascii="Bookman Old Style" w:hAnsi="Bookman Old Style"/>
          <w:sz w:val="22"/>
          <w:szCs w:val="22"/>
        </w:rPr>
        <w:t>ciplina la definizione agevolata delle entrate comunali, anche tributarie, non riscosse a seguito di provvedimenti di ingiunzioni di pagamento di cui al regio decreto 14 aprile 1910, n. 639</w:t>
      </w:r>
      <w:r w:rsidR="00475CCF" w:rsidRPr="00D23E66">
        <w:rPr>
          <w:rFonts w:ascii="Bookman Old Style" w:hAnsi="Bookman Old Style"/>
          <w:sz w:val="22"/>
          <w:szCs w:val="22"/>
        </w:rPr>
        <w:t xml:space="preserve"> e di accertamenti esecutivi di cui all’articolo 1, comma 792, legge 27 dicembre 2019, n. 160</w:t>
      </w:r>
      <w:r w:rsidR="00B469F7">
        <w:rPr>
          <w:rFonts w:ascii="Bookman Old Style" w:hAnsi="Bookman Old Style"/>
          <w:sz w:val="22"/>
          <w:szCs w:val="22"/>
        </w:rPr>
        <w:t>.</w:t>
      </w:r>
    </w:p>
    <w:p w14:paraId="65DA3830" w14:textId="77777777" w:rsidR="00DF6086" w:rsidRPr="00D23E66" w:rsidRDefault="00DF6086">
      <w:pPr>
        <w:pStyle w:val="Rientrocorpodeltesto"/>
        <w:spacing w:after="120" w:line="288" w:lineRule="auto"/>
        <w:rPr>
          <w:rFonts w:ascii="Bookman Old Style" w:hAnsi="Bookman Old Style"/>
          <w:sz w:val="22"/>
          <w:szCs w:val="22"/>
        </w:rPr>
      </w:pPr>
    </w:p>
    <w:p w14:paraId="7FAA7867" w14:textId="77777777" w:rsidR="00DF6086" w:rsidRPr="00D23E66" w:rsidRDefault="00DF6086">
      <w:pPr>
        <w:pStyle w:val="Titolo3"/>
        <w:spacing w:after="120" w:line="288" w:lineRule="auto"/>
        <w:jc w:val="left"/>
        <w:rPr>
          <w:rFonts w:ascii="Bookman Old Style" w:hAnsi="Bookman Old Style"/>
          <w:i/>
          <w:sz w:val="22"/>
          <w:szCs w:val="22"/>
        </w:rPr>
      </w:pPr>
      <w:bookmarkStart w:id="2" w:name="_Toc218672098"/>
      <w:r w:rsidRPr="00D23E66">
        <w:rPr>
          <w:rFonts w:ascii="Bookman Old Style" w:hAnsi="Bookman Old Style"/>
          <w:sz w:val="22"/>
          <w:szCs w:val="22"/>
        </w:rPr>
        <w:t xml:space="preserve">Articolo 2 – </w:t>
      </w:r>
      <w:r w:rsidRPr="00CC47B6">
        <w:rPr>
          <w:rFonts w:ascii="Bookman Old Style" w:hAnsi="Bookman Old Style"/>
          <w:iCs/>
          <w:sz w:val="22"/>
          <w:szCs w:val="22"/>
        </w:rPr>
        <w:t>Oggetto della definizione agevolata</w:t>
      </w:r>
      <w:bookmarkEnd w:id="2"/>
      <w:r w:rsidRPr="00D23E66">
        <w:rPr>
          <w:rFonts w:ascii="Bookman Old Style" w:hAnsi="Bookman Old Style"/>
          <w:i/>
          <w:sz w:val="22"/>
          <w:szCs w:val="22"/>
        </w:rPr>
        <w:t xml:space="preserve"> </w:t>
      </w:r>
    </w:p>
    <w:p w14:paraId="49DA07FF" w14:textId="77777777" w:rsidR="0078473F" w:rsidRPr="00D23E66"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w:t>
      </w:r>
      <w:r w:rsidR="0078473F" w:rsidRPr="00D23E66">
        <w:rPr>
          <w:rFonts w:ascii="Bookman Old Style" w:hAnsi="Bookman Old Style"/>
          <w:sz w:val="22"/>
          <w:szCs w:val="22"/>
        </w:rPr>
        <w:t xml:space="preserve">I debiti </w:t>
      </w:r>
      <w:r w:rsidR="00DB637E" w:rsidRPr="00D23E66">
        <w:rPr>
          <w:rFonts w:ascii="Bookman Old Style" w:hAnsi="Bookman Old Style"/>
          <w:sz w:val="22"/>
          <w:szCs w:val="22"/>
        </w:rPr>
        <w:t>risultanti da ingiunzioni di pagamento e da accertamenti esecutivi relativi al periodo dal 1° gennaio 2000 al 3</w:t>
      </w:r>
      <w:r w:rsidR="00CD2847">
        <w:rPr>
          <w:rFonts w:ascii="Bookman Old Style" w:hAnsi="Bookman Old Style"/>
          <w:sz w:val="22"/>
          <w:szCs w:val="22"/>
        </w:rPr>
        <w:t>1 dicembre 2023</w:t>
      </w:r>
      <w:r w:rsidR="008C00E1" w:rsidRPr="00D23E66">
        <w:rPr>
          <w:rStyle w:val="Rimandonotaapidipagina"/>
          <w:rFonts w:ascii="Bookman Old Style" w:hAnsi="Bookman Old Style"/>
          <w:sz w:val="22"/>
          <w:szCs w:val="22"/>
        </w:rPr>
        <w:footnoteReference w:id="2"/>
      </w:r>
      <w:r w:rsidR="0078473F" w:rsidRPr="00D23E66">
        <w:rPr>
          <w:rFonts w:ascii="Bookman Old Style" w:hAnsi="Bookman Old Style"/>
          <w:sz w:val="22"/>
          <w:szCs w:val="22"/>
        </w:rPr>
        <w:t xml:space="preserve"> possono essere estinti versando le somme dovute a titolo di capitale e quelle maturate a titolo di rimborso delle spese per le procedure esecutive </w:t>
      </w:r>
      <w:r w:rsidR="0045090B" w:rsidRPr="00D23E66">
        <w:rPr>
          <w:rFonts w:ascii="Bookman Old Style" w:hAnsi="Bookman Old Style"/>
          <w:sz w:val="22"/>
          <w:szCs w:val="22"/>
        </w:rPr>
        <w:t xml:space="preserve">e cautelari </w:t>
      </w:r>
      <w:r w:rsidR="0078473F" w:rsidRPr="00D23E66">
        <w:rPr>
          <w:rFonts w:ascii="Bookman Old Style" w:hAnsi="Bookman Old Style"/>
          <w:sz w:val="22"/>
          <w:szCs w:val="22"/>
        </w:rPr>
        <w:t>e di notificazione degli atti.</w:t>
      </w:r>
    </w:p>
    <w:p w14:paraId="4C718FC9" w14:textId="693C29A8" w:rsidR="0078473F" w:rsidRPr="00D23E66" w:rsidRDefault="0078473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2. Ai fini della definizione agevolata il debito deve risultare da</w:t>
      </w:r>
      <w:r w:rsidR="00837483">
        <w:rPr>
          <w:rFonts w:ascii="Bookman Old Style" w:hAnsi="Bookman Old Style"/>
          <w:sz w:val="22"/>
          <w:szCs w:val="22"/>
        </w:rPr>
        <w:t xml:space="preserve"> una o ambedue le seguenti fattispecie</w:t>
      </w:r>
      <w:r w:rsidRPr="00D23E66">
        <w:rPr>
          <w:rFonts w:ascii="Bookman Old Style" w:hAnsi="Bookman Old Style"/>
          <w:sz w:val="22"/>
          <w:szCs w:val="22"/>
        </w:rPr>
        <w:t>:</w:t>
      </w:r>
    </w:p>
    <w:p w14:paraId="3BA5FD2B" w14:textId="77777777" w:rsidR="0078473F" w:rsidRPr="00D23E66" w:rsidRDefault="0078473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a) un’ingiunzione di pagamento </w:t>
      </w:r>
      <w:r w:rsidR="00A34D3B" w:rsidRPr="00D23E66">
        <w:rPr>
          <w:rFonts w:ascii="Bookman Old Style" w:hAnsi="Bookman Old Style"/>
          <w:sz w:val="22"/>
          <w:szCs w:val="22"/>
        </w:rPr>
        <w:t xml:space="preserve">emessa </w:t>
      </w:r>
      <w:r w:rsidRPr="00D23E66">
        <w:rPr>
          <w:rFonts w:ascii="Bookman Old Style" w:hAnsi="Bookman Old Style"/>
          <w:sz w:val="22"/>
          <w:szCs w:val="22"/>
        </w:rPr>
        <w:t>entro il 3</w:t>
      </w:r>
      <w:r w:rsidR="00D80C2A">
        <w:rPr>
          <w:rFonts w:ascii="Bookman Old Style" w:hAnsi="Bookman Old Style"/>
          <w:sz w:val="22"/>
          <w:szCs w:val="22"/>
        </w:rPr>
        <w:t>1 dicembre 2023</w:t>
      </w:r>
      <w:r w:rsidRPr="00D23E66">
        <w:rPr>
          <w:rFonts w:ascii="Bookman Old Style" w:hAnsi="Bookman Old Style"/>
          <w:sz w:val="22"/>
          <w:szCs w:val="22"/>
        </w:rPr>
        <w:t>;</w:t>
      </w:r>
    </w:p>
    <w:p w14:paraId="69EE2AB8" w14:textId="77777777" w:rsidR="0078473F" w:rsidRPr="00D23E66" w:rsidRDefault="0078473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b) un accertamento divenuto esecutivo entro il 3</w:t>
      </w:r>
      <w:r w:rsidR="00D80C2A">
        <w:rPr>
          <w:rFonts w:ascii="Bookman Old Style" w:hAnsi="Bookman Old Style"/>
          <w:sz w:val="22"/>
          <w:szCs w:val="22"/>
        </w:rPr>
        <w:t>1 dicembre 2023</w:t>
      </w:r>
      <w:r w:rsidR="00450455" w:rsidRPr="00D23E66">
        <w:rPr>
          <w:rFonts w:ascii="Bookman Old Style" w:hAnsi="Bookman Old Style"/>
          <w:sz w:val="22"/>
          <w:szCs w:val="22"/>
        </w:rPr>
        <w:t>.</w:t>
      </w:r>
    </w:p>
    <w:p w14:paraId="50DF15BC" w14:textId="11E4FE38" w:rsidR="001E43AF" w:rsidRPr="00D23E66" w:rsidRDefault="001E43A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3. Per le sanzioni amministrative, comprese quelle per violazioni del </w:t>
      </w:r>
      <w:r w:rsidR="00837483">
        <w:rPr>
          <w:rFonts w:ascii="Bookman Old Style" w:hAnsi="Bookman Old Style"/>
          <w:sz w:val="22"/>
          <w:szCs w:val="22"/>
        </w:rPr>
        <w:t>C</w:t>
      </w:r>
      <w:r w:rsidR="00837483" w:rsidRPr="00D23E66">
        <w:rPr>
          <w:rFonts w:ascii="Bookman Old Style" w:hAnsi="Bookman Old Style"/>
          <w:sz w:val="22"/>
          <w:szCs w:val="22"/>
        </w:rPr>
        <w:t xml:space="preserve">odice </w:t>
      </w:r>
      <w:r w:rsidRPr="00D23E66">
        <w:rPr>
          <w:rFonts w:ascii="Bookman Old Style" w:hAnsi="Bookman Old Style"/>
          <w:sz w:val="22"/>
          <w:szCs w:val="22"/>
        </w:rPr>
        <w:t>della strada, di cui al decreto legislativo 30 aprile 1992, n. 285, diverse da quelle irrogate per violazioni tributarie, le disposizioni del presente articolo si applicano limitatamente agli interessi, inclusi quelli di mora</w:t>
      </w:r>
      <w:r w:rsidR="00095BE5" w:rsidRPr="00512B2D">
        <w:rPr>
          <w:rFonts w:ascii="Bookman Old Style" w:hAnsi="Bookman Old Style"/>
          <w:sz w:val="22"/>
          <w:szCs w:val="22"/>
        </w:rPr>
        <w:t>,</w:t>
      </w:r>
      <w:r w:rsidRPr="00512B2D">
        <w:rPr>
          <w:rFonts w:ascii="Bookman Old Style" w:hAnsi="Bookman Old Style"/>
          <w:sz w:val="22"/>
          <w:szCs w:val="22"/>
        </w:rPr>
        <w:t xml:space="preserve"> </w:t>
      </w:r>
      <w:r w:rsidR="00095BE5" w:rsidRPr="00512B2D">
        <w:rPr>
          <w:rFonts w:ascii="Bookman Old Style" w:hAnsi="Bookman Old Style"/>
          <w:sz w:val="22"/>
          <w:szCs w:val="22"/>
        </w:rPr>
        <w:t xml:space="preserve">alle maggiorazioni </w:t>
      </w:r>
      <w:r w:rsidRPr="00512B2D">
        <w:rPr>
          <w:rFonts w:ascii="Bookman Old Style" w:hAnsi="Bookman Old Style"/>
          <w:sz w:val="22"/>
          <w:szCs w:val="22"/>
        </w:rPr>
        <w:t xml:space="preserve">di cui all’articolo 27, sesto comma, della legge 24 novembre 1981, n. 689, e alle somme maturate a titolo di </w:t>
      </w:r>
      <w:r w:rsidR="00487F1F">
        <w:rPr>
          <w:rFonts w:ascii="Bookman Old Style" w:hAnsi="Bookman Old Style"/>
          <w:sz w:val="22"/>
          <w:szCs w:val="22"/>
        </w:rPr>
        <w:t>oneri della riscossione</w:t>
      </w:r>
      <w:r w:rsidRPr="00D23E66">
        <w:rPr>
          <w:rFonts w:ascii="Bookman Old Style" w:hAnsi="Bookman Old Style"/>
          <w:sz w:val="22"/>
          <w:szCs w:val="22"/>
        </w:rPr>
        <w:t>.</w:t>
      </w:r>
    </w:p>
    <w:p w14:paraId="1951B79F" w14:textId="77777777" w:rsidR="001E43AF" w:rsidRPr="00D23E66" w:rsidRDefault="001E43A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4. La definizione agevolata prevista dal presente articolo può riguardare il singolo debito incluso </w:t>
      </w:r>
      <w:r w:rsidR="00353357" w:rsidRPr="00512B2D">
        <w:rPr>
          <w:rFonts w:ascii="Bookman Old Style" w:hAnsi="Bookman Old Style"/>
          <w:sz w:val="22"/>
          <w:szCs w:val="22"/>
        </w:rPr>
        <w:t xml:space="preserve">in una ingiunzione </w:t>
      </w:r>
      <w:r w:rsidRPr="00512B2D">
        <w:rPr>
          <w:rFonts w:ascii="Bookman Old Style" w:hAnsi="Bookman Old Style"/>
          <w:sz w:val="22"/>
          <w:szCs w:val="22"/>
        </w:rPr>
        <w:t>di pagamento o accertament</w:t>
      </w:r>
      <w:r w:rsidR="00353357" w:rsidRPr="00512B2D">
        <w:rPr>
          <w:rFonts w:ascii="Bookman Old Style" w:hAnsi="Bookman Old Style"/>
          <w:sz w:val="22"/>
          <w:szCs w:val="22"/>
        </w:rPr>
        <w:t>o</w:t>
      </w:r>
      <w:r w:rsidRPr="00512B2D">
        <w:rPr>
          <w:rFonts w:ascii="Bookman Old Style" w:hAnsi="Bookman Old Style"/>
          <w:sz w:val="22"/>
          <w:szCs w:val="22"/>
        </w:rPr>
        <w:t xml:space="preserve"> </w:t>
      </w:r>
      <w:r w:rsidR="00353357" w:rsidRPr="00512B2D">
        <w:rPr>
          <w:rFonts w:ascii="Bookman Old Style" w:hAnsi="Bookman Old Style"/>
          <w:sz w:val="22"/>
          <w:szCs w:val="22"/>
        </w:rPr>
        <w:t>esecutivo</w:t>
      </w:r>
      <w:r w:rsidRPr="00512B2D">
        <w:rPr>
          <w:rFonts w:ascii="Bookman Old Style" w:hAnsi="Bookman Old Style"/>
          <w:sz w:val="22"/>
          <w:szCs w:val="22"/>
        </w:rPr>
        <w:t>.</w:t>
      </w:r>
    </w:p>
    <w:p w14:paraId="6EFE1EEF" w14:textId="77777777" w:rsidR="00E10F06" w:rsidRPr="00D23E66" w:rsidRDefault="00E10F0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5. Sono esclusi dalla definizione di cui al comma 1 i crediti derivanti da pronunce di condanna della Corte dei conti</w:t>
      </w:r>
      <w:r w:rsidRPr="00D23E66">
        <w:rPr>
          <w:rStyle w:val="Rimandonotaapidipagina"/>
          <w:rFonts w:ascii="Bookman Old Style" w:hAnsi="Bookman Old Style"/>
          <w:sz w:val="22"/>
          <w:szCs w:val="22"/>
        </w:rPr>
        <w:footnoteReference w:id="3"/>
      </w:r>
      <w:r w:rsidRPr="00D23E66">
        <w:rPr>
          <w:rFonts w:ascii="Bookman Old Style" w:hAnsi="Bookman Old Style"/>
          <w:sz w:val="22"/>
          <w:szCs w:val="22"/>
        </w:rPr>
        <w:t>.</w:t>
      </w:r>
    </w:p>
    <w:p w14:paraId="25F59E4D" w14:textId="6C94F53E" w:rsidR="00E10F06" w:rsidRPr="00D23E66" w:rsidRDefault="009A4624">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6. Il Comune (</w:t>
      </w:r>
      <w:r w:rsidRPr="00512B2D">
        <w:rPr>
          <w:rFonts w:ascii="Bookman Old Style" w:hAnsi="Bookman Old Style"/>
          <w:i/>
          <w:color w:val="FF0000"/>
          <w:sz w:val="22"/>
          <w:szCs w:val="22"/>
        </w:rPr>
        <w:t xml:space="preserve">o </w:t>
      </w:r>
      <w:r w:rsidR="0072113F" w:rsidRPr="00512B2D">
        <w:rPr>
          <w:rFonts w:ascii="Bookman Old Style" w:hAnsi="Bookman Old Style"/>
          <w:i/>
          <w:color w:val="FF0000"/>
          <w:sz w:val="22"/>
          <w:szCs w:val="22"/>
        </w:rPr>
        <w:t xml:space="preserve">l’affidatario / </w:t>
      </w:r>
      <w:r w:rsidRPr="00512B2D">
        <w:rPr>
          <w:rFonts w:ascii="Bookman Old Style" w:hAnsi="Bookman Old Style"/>
          <w:i/>
          <w:color w:val="FF0000"/>
          <w:sz w:val="22"/>
          <w:szCs w:val="22"/>
        </w:rPr>
        <w:t>concessionario</w:t>
      </w:r>
      <w:proofErr w:type="gramStart"/>
      <w:r w:rsidR="00962B3C">
        <w:rPr>
          <w:rFonts w:ascii="Bookman Old Style" w:hAnsi="Bookman Old Style"/>
          <w:i/>
          <w:color w:val="FF0000"/>
          <w:sz w:val="22"/>
          <w:szCs w:val="22"/>
        </w:rPr>
        <w:t xml:space="preserve"> </w:t>
      </w:r>
      <w:r w:rsidRPr="00512B2D">
        <w:rPr>
          <w:rFonts w:ascii="Bookman Old Style" w:hAnsi="Bookman Old Style"/>
          <w:i/>
          <w:color w:val="FF0000"/>
          <w:sz w:val="22"/>
          <w:szCs w:val="22"/>
        </w:rPr>
        <w:t>…</w:t>
      </w:r>
      <w:r w:rsidRPr="00D23E66">
        <w:rPr>
          <w:rFonts w:ascii="Bookman Old Style" w:hAnsi="Bookman Old Style"/>
          <w:i/>
          <w:color w:val="FF0000"/>
          <w:sz w:val="22"/>
          <w:szCs w:val="22"/>
        </w:rPr>
        <w:t>.</w:t>
      </w:r>
      <w:proofErr w:type="gramEnd"/>
      <w:r w:rsidRPr="00D23E66">
        <w:rPr>
          <w:rFonts w:ascii="Bookman Old Style" w:hAnsi="Bookman Old Style"/>
          <w:i/>
          <w:color w:val="FF0000"/>
          <w:sz w:val="22"/>
          <w:szCs w:val="22"/>
        </w:rPr>
        <w:t>. o la società in house</w:t>
      </w:r>
      <w:r w:rsidRPr="00D23E66">
        <w:rPr>
          <w:rFonts w:ascii="Bookman Old Style" w:hAnsi="Bookman Old Style"/>
          <w:i/>
          <w:sz w:val="22"/>
          <w:szCs w:val="22"/>
        </w:rPr>
        <w:t>)</w:t>
      </w:r>
      <w:r w:rsidR="00F857A3" w:rsidRPr="00D23E66">
        <w:rPr>
          <w:rFonts w:ascii="Bookman Old Style" w:hAnsi="Bookman Old Style"/>
          <w:i/>
          <w:sz w:val="22"/>
          <w:szCs w:val="22"/>
        </w:rPr>
        <w:t>,</w:t>
      </w:r>
      <w:r w:rsidRPr="00D23E66">
        <w:rPr>
          <w:rFonts w:ascii="Bookman Old Style" w:hAnsi="Bookman Old Style"/>
          <w:i/>
          <w:sz w:val="22"/>
          <w:szCs w:val="22"/>
        </w:rPr>
        <w:t xml:space="preserve"> </w:t>
      </w:r>
      <w:r w:rsidRPr="00D23E66">
        <w:rPr>
          <w:rFonts w:ascii="Bookman Old Style" w:hAnsi="Bookman Old Style"/>
          <w:sz w:val="22"/>
          <w:szCs w:val="22"/>
        </w:rPr>
        <w:t xml:space="preserve">su istanza del debitore da presentarsi entro il </w:t>
      </w:r>
      <w:r w:rsidR="00E60CE5" w:rsidRPr="00512B2D">
        <w:rPr>
          <w:rFonts w:ascii="Bookman Old Style" w:hAnsi="Bookman Old Style"/>
          <w:b/>
          <w:bCs/>
          <w:sz w:val="22"/>
          <w:szCs w:val="22"/>
        </w:rPr>
        <w:t>…</w:t>
      </w:r>
      <w:r w:rsidR="00EE343B" w:rsidRPr="00512B2D">
        <w:rPr>
          <w:rFonts w:ascii="Bookman Old Style" w:hAnsi="Bookman Old Style"/>
          <w:b/>
          <w:bCs/>
          <w:sz w:val="22"/>
          <w:szCs w:val="22"/>
        </w:rPr>
        <w:t>…….</w:t>
      </w:r>
      <w:r w:rsidR="00E60CE5" w:rsidRPr="00512B2D">
        <w:rPr>
          <w:rFonts w:ascii="Bookman Old Style" w:hAnsi="Bookman Old Style"/>
          <w:sz w:val="22"/>
          <w:szCs w:val="22"/>
        </w:rPr>
        <w:t xml:space="preserve"> </w:t>
      </w:r>
      <w:r w:rsidR="00665E4B" w:rsidRPr="00512B2D">
        <w:rPr>
          <w:rFonts w:ascii="Bookman Old Style" w:hAnsi="Bookman Old Style"/>
          <w:sz w:val="22"/>
          <w:szCs w:val="22"/>
        </w:rPr>
        <w:t>(</w:t>
      </w:r>
      <w:r w:rsidR="005C3604">
        <w:rPr>
          <w:rFonts w:ascii="Bookman Old Style" w:hAnsi="Bookman Old Style"/>
          <w:i/>
          <w:iCs/>
          <w:color w:val="FF0000"/>
          <w:sz w:val="22"/>
          <w:szCs w:val="22"/>
        </w:rPr>
        <w:t>decorsi almeno sessanta giorni dalla pubblicazione del</w:t>
      </w:r>
      <w:r w:rsidR="006B2E02">
        <w:rPr>
          <w:rFonts w:ascii="Bookman Old Style" w:hAnsi="Bookman Old Style"/>
          <w:i/>
          <w:iCs/>
          <w:color w:val="FF0000"/>
          <w:sz w:val="22"/>
          <w:szCs w:val="22"/>
        </w:rPr>
        <w:t>la</w:t>
      </w:r>
      <w:r w:rsidR="005C3604">
        <w:rPr>
          <w:rFonts w:ascii="Bookman Old Style" w:hAnsi="Bookman Old Style"/>
          <w:i/>
          <w:iCs/>
          <w:color w:val="FF0000"/>
          <w:sz w:val="22"/>
          <w:szCs w:val="22"/>
        </w:rPr>
        <w:t xml:space="preserve"> delibera sul sito internet istituzionale dell’ente</w:t>
      </w:r>
      <w:r w:rsidR="00EE343B" w:rsidRPr="00D23E66">
        <w:rPr>
          <w:rFonts w:ascii="Bookman Old Style" w:hAnsi="Bookman Old Style"/>
          <w:sz w:val="22"/>
          <w:szCs w:val="22"/>
        </w:rPr>
        <w:t>)</w:t>
      </w:r>
      <w:r w:rsidR="00D94DD7" w:rsidRPr="00D23E66">
        <w:rPr>
          <w:rFonts w:ascii="Bookman Old Style" w:hAnsi="Bookman Old Style"/>
          <w:sz w:val="22"/>
          <w:szCs w:val="22"/>
        </w:rPr>
        <w:t xml:space="preserve"> </w:t>
      </w:r>
      <w:r w:rsidRPr="00D23E66">
        <w:rPr>
          <w:rFonts w:ascii="Bookman Old Style" w:hAnsi="Bookman Old Style"/>
          <w:sz w:val="22"/>
          <w:szCs w:val="22"/>
        </w:rPr>
        <w:t>comunica</w:t>
      </w:r>
      <w:r w:rsidR="00353D34">
        <w:rPr>
          <w:rFonts w:ascii="Bookman Old Style" w:hAnsi="Bookman Old Style"/>
          <w:sz w:val="22"/>
          <w:szCs w:val="22"/>
        </w:rPr>
        <w:t xml:space="preserve"> </w:t>
      </w:r>
      <w:r w:rsidR="00353D34" w:rsidRPr="00962B3C">
        <w:rPr>
          <w:rFonts w:ascii="Bookman Old Style" w:hAnsi="Bookman Old Style"/>
          <w:i/>
          <w:iCs/>
          <w:sz w:val="22"/>
          <w:szCs w:val="22"/>
        </w:rPr>
        <w:t>(anche attraverso l’affidatario / concessionario … o la società in house preposta</w:t>
      </w:r>
      <w:r w:rsidR="00353D34">
        <w:rPr>
          <w:rFonts w:ascii="Bookman Old Style" w:hAnsi="Bookman Old Style"/>
          <w:sz w:val="22"/>
          <w:szCs w:val="22"/>
        </w:rPr>
        <w:t>)</w:t>
      </w:r>
      <w:r w:rsidRPr="00D23E66">
        <w:rPr>
          <w:rFonts w:ascii="Bookman Old Style" w:hAnsi="Bookman Old Style"/>
          <w:sz w:val="22"/>
          <w:szCs w:val="22"/>
        </w:rPr>
        <w:t xml:space="preserve">, </w:t>
      </w:r>
      <w:r w:rsidRPr="00BE74EF">
        <w:rPr>
          <w:rFonts w:ascii="Bookman Old Style" w:hAnsi="Bookman Old Style"/>
          <w:sz w:val="22"/>
          <w:szCs w:val="22"/>
        </w:rPr>
        <w:t xml:space="preserve">nei </w:t>
      </w:r>
      <w:r w:rsidRPr="00962B3C">
        <w:rPr>
          <w:rFonts w:ascii="Bookman Old Style" w:hAnsi="Bookman Old Style"/>
          <w:sz w:val="22"/>
          <w:szCs w:val="22"/>
        </w:rPr>
        <w:t>successivi quindici giorni</w:t>
      </w:r>
      <w:r w:rsidRPr="00D23E66">
        <w:rPr>
          <w:rFonts w:ascii="Bookman Old Style" w:hAnsi="Bookman Old Style"/>
          <w:sz w:val="22"/>
          <w:szCs w:val="22"/>
        </w:rPr>
        <w:t xml:space="preserve"> </w:t>
      </w:r>
      <w:r w:rsidRPr="00D23E66">
        <w:rPr>
          <w:rFonts w:ascii="Bookman Old Style" w:hAnsi="Bookman Old Style"/>
          <w:sz w:val="22"/>
          <w:szCs w:val="22"/>
        </w:rPr>
        <w:lastRenderedPageBreak/>
        <w:t>dal ricevimento dell’istanza, l’ammontare delle pendenze del debitore che possono essere oggetto di definizione agevolata</w:t>
      </w:r>
      <w:r w:rsidR="001705B5" w:rsidRPr="00D23E66">
        <w:rPr>
          <w:rStyle w:val="Rimandonotaapidipagina"/>
          <w:rFonts w:ascii="Bookman Old Style" w:hAnsi="Bookman Old Style"/>
          <w:sz w:val="22"/>
          <w:szCs w:val="22"/>
        </w:rPr>
        <w:footnoteReference w:id="4"/>
      </w:r>
      <w:r w:rsidRPr="00D23E66">
        <w:rPr>
          <w:rFonts w:ascii="Bookman Old Style" w:hAnsi="Bookman Old Style"/>
          <w:sz w:val="22"/>
          <w:szCs w:val="22"/>
        </w:rPr>
        <w:t>.</w:t>
      </w:r>
    </w:p>
    <w:p w14:paraId="5AC6C3F7" w14:textId="77777777" w:rsidR="00E10F06" w:rsidRPr="00D23E66" w:rsidRDefault="00E10F06">
      <w:pPr>
        <w:pStyle w:val="Rientrocorpodeltesto"/>
        <w:spacing w:after="120" w:line="288" w:lineRule="auto"/>
        <w:rPr>
          <w:rFonts w:ascii="Bookman Old Style" w:hAnsi="Bookman Old Style"/>
          <w:sz w:val="22"/>
          <w:szCs w:val="22"/>
        </w:rPr>
      </w:pPr>
    </w:p>
    <w:p w14:paraId="1658CC53" w14:textId="77777777" w:rsidR="000336A4" w:rsidRPr="00D23E66" w:rsidRDefault="000336A4">
      <w:pPr>
        <w:pStyle w:val="Titolo3"/>
        <w:spacing w:after="120" w:line="288" w:lineRule="auto"/>
        <w:jc w:val="left"/>
        <w:rPr>
          <w:rFonts w:ascii="Bookman Old Style" w:hAnsi="Bookman Old Style"/>
          <w:i/>
          <w:sz w:val="22"/>
          <w:szCs w:val="22"/>
        </w:rPr>
      </w:pPr>
      <w:bookmarkStart w:id="3" w:name="_Toc218672099"/>
      <w:r w:rsidRPr="00D23E66">
        <w:rPr>
          <w:rFonts w:ascii="Bookman Old Style" w:hAnsi="Bookman Old Style"/>
          <w:sz w:val="22"/>
          <w:szCs w:val="22"/>
        </w:rPr>
        <w:t xml:space="preserve">Articolo </w:t>
      </w:r>
      <w:r w:rsidR="00050B39" w:rsidRPr="00D23E66">
        <w:rPr>
          <w:rFonts w:ascii="Bookman Old Style" w:hAnsi="Bookman Old Style"/>
          <w:sz w:val="22"/>
          <w:szCs w:val="22"/>
        </w:rPr>
        <w:t>3</w:t>
      </w:r>
      <w:r w:rsidRPr="00D23E66">
        <w:rPr>
          <w:rFonts w:ascii="Bookman Old Style" w:hAnsi="Bookman Old Style"/>
          <w:sz w:val="22"/>
          <w:szCs w:val="22"/>
        </w:rPr>
        <w:t xml:space="preserve"> – </w:t>
      </w:r>
      <w:r w:rsidR="0045090B" w:rsidRPr="00CC47B6">
        <w:rPr>
          <w:rFonts w:ascii="Bookman Old Style" w:hAnsi="Bookman Old Style"/>
          <w:iCs/>
          <w:sz w:val="22"/>
          <w:szCs w:val="22"/>
        </w:rPr>
        <w:t>Dichiarazione di adesione alla definizione agevolata</w:t>
      </w:r>
      <w:bookmarkEnd w:id="3"/>
    </w:p>
    <w:p w14:paraId="67A34DB6" w14:textId="09A91A3E" w:rsidR="00DF6086" w:rsidRPr="00D23E66" w:rsidRDefault="0045090B">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1</w:t>
      </w:r>
      <w:r w:rsidR="00DF6086" w:rsidRPr="00D23E66">
        <w:rPr>
          <w:rFonts w:ascii="Bookman Old Style" w:hAnsi="Bookman Old Style"/>
          <w:sz w:val="22"/>
          <w:szCs w:val="22"/>
        </w:rPr>
        <w:t>. Ai fini della definizione di cui al</w:t>
      </w:r>
      <w:r w:rsidR="005F4211" w:rsidRPr="00D23E66">
        <w:rPr>
          <w:rFonts w:ascii="Bookman Old Style" w:hAnsi="Bookman Old Style"/>
          <w:sz w:val="22"/>
          <w:szCs w:val="22"/>
        </w:rPr>
        <w:t>l’articolo 2</w:t>
      </w:r>
      <w:r w:rsidR="00DF6086" w:rsidRPr="00D23E66">
        <w:rPr>
          <w:rFonts w:ascii="Bookman Old Style" w:hAnsi="Bookman Old Style"/>
          <w:sz w:val="22"/>
          <w:szCs w:val="22"/>
        </w:rPr>
        <w:t xml:space="preserve">, il debitore manifesta al Comune, </w:t>
      </w:r>
      <w:r w:rsidR="009A4624" w:rsidRPr="00D23E66">
        <w:rPr>
          <w:rFonts w:ascii="Bookman Old Style" w:hAnsi="Bookman Old Style"/>
          <w:sz w:val="22"/>
          <w:szCs w:val="22"/>
        </w:rPr>
        <w:t>(</w:t>
      </w:r>
      <w:r w:rsidR="009A4624" w:rsidRPr="00D23E66">
        <w:rPr>
          <w:rFonts w:ascii="Bookman Old Style" w:hAnsi="Bookman Old Style"/>
          <w:i/>
          <w:color w:val="FF0000"/>
          <w:sz w:val="22"/>
          <w:szCs w:val="22"/>
        </w:rPr>
        <w:t xml:space="preserve">o al concessionario </w:t>
      </w:r>
      <w:r w:rsidR="00DF6086" w:rsidRPr="00D23E66">
        <w:rPr>
          <w:rFonts w:ascii="Bookman Old Style" w:hAnsi="Bookman Old Style"/>
          <w:i/>
          <w:color w:val="FF0000"/>
          <w:sz w:val="22"/>
          <w:szCs w:val="22"/>
        </w:rPr>
        <w:t>o alla società in house …</w:t>
      </w:r>
      <w:r w:rsidR="00353D34">
        <w:rPr>
          <w:rFonts w:ascii="Bookman Old Style" w:hAnsi="Bookman Old Style"/>
          <w:i/>
          <w:color w:val="FF0000"/>
          <w:sz w:val="22"/>
          <w:szCs w:val="22"/>
        </w:rPr>
        <w:t xml:space="preserve"> centro di responsabilità indicato nell’articolo 2</w:t>
      </w:r>
      <w:r w:rsidR="00DF6086" w:rsidRPr="00D23E66">
        <w:rPr>
          <w:rFonts w:ascii="Bookman Old Style" w:hAnsi="Bookman Old Style"/>
          <w:i/>
          <w:color w:val="FF0000"/>
          <w:sz w:val="22"/>
          <w:szCs w:val="22"/>
        </w:rPr>
        <w:t>…</w:t>
      </w:r>
      <w:r w:rsidR="00DF6086" w:rsidRPr="00D23E66">
        <w:rPr>
          <w:rFonts w:ascii="Bookman Old Style" w:hAnsi="Bookman Old Style"/>
          <w:color w:val="FF0000"/>
          <w:sz w:val="22"/>
          <w:szCs w:val="22"/>
        </w:rPr>
        <w:t>.</w:t>
      </w:r>
      <w:r w:rsidR="00DF6086" w:rsidRPr="00D23E66">
        <w:rPr>
          <w:rFonts w:ascii="Bookman Old Style" w:hAnsi="Bookman Old Style"/>
          <w:sz w:val="22"/>
          <w:szCs w:val="22"/>
        </w:rPr>
        <w:t xml:space="preserve">), la sua volontà di avvalersene, rendendo entro </w:t>
      </w:r>
      <w:r w:rsidR="005C3604">
        <w:rPr>
          <w:rFonts w:ascii="Bookman Old Style" w:hAnsi="Bookman Old Style"/>
          <w:sz w:val="22"/>
          <w:szCs w:val="22"/>
        </w:rPr>
        <w:t>30 giorni successivi alla notifica dell</w:t>
      </w:r>
      <w:r w:rsidR="00F233CF">
        <w:rPr>
          <w:rFonts w:ascii="Bookman Old Style" w:hAnsi="Bookman Old Style"/>
          <w:sz w:val="22"/>
          <w:szCs w:val="22"/>
        </w:rPr>
        <w:t>e</w:t>
      </w:r>
      <w:r w:rsidR="005C3604">
        <w:rPr>
          <w:rFonts w:ascii="Bookman Old Style" w:hAnsi="Bookman Old Style"/>
          <w:sz w:val="22"/>
          <w:szCs w:val="22"/>
        </w:rPr>
        <w:t xml:space="preserve"> comunicazioni di cui all’articolo 2, comma 6, </w:t>
      </w:r>
      <w:r w:rsidR="00DF6086" w:rsidRPr="00D23E66">
        <w:rPr>
          <w:rFonts w:ascii="Bookman Old Style" w:hAnsi="Bookman Old Style"/>
          <w:sz w:val="22"/>
          <w:szCs w:val="22"/>
        </w:rPr>
        <w:t xml:space="preserve">apposita dichiarazione, con le modalità e in conformità alla modulistica che lo stesso Comune </w:t>
      </w:r>
      <w:r w:rsidR="00DF6086" w:rsidRPr="00D23E66">
        <w:rPr>
          <w:rFonts w:ascii="Bookman Old Style" w:hAnsi="Bookman Old Style"/>
          <w:color w:val="FF0000"/>
          <w:sz w:val="22"/>
          <w:szCs w:val="22"/>
        </w:rPr>
        <w:t>(</w:t>
      </w:r>
      <w:r w:rsidR="00DF6086" w:rsidRPr="00D23E66">
        <w:rPr>
          <w:rFonts w:ascii="Bookman Old Style" w:hAnsi="Bookman Old Style"/>
          <w:i/>
          <w:color w:val="FF0000"/>
          <w:sz w:val="22"/>
          <w:szCs w:val="22"/>
        </w:rPr>
        <w:t>o concessionario o società in house</w:t>
      </w:r>
      <w:r w:rsidR="00DF6086" w:rsidRPr="00D23E66">
        <w:rPr>
          <w:rFonts w:ascii="Bookman Old Style" w:hAnsi="Bookman Old Style"/>
          <w:color w:val="FF0000"/>
          <w:sz w:val="22"/>
          <w:szCs w:val="22"/>
        </w:rPr>
        <w:t xml:space="preserve">) </w:t>
      </w:r>
      <w:r w:rsidR="00DF6086" w:rsidRPr="00D23E66">
        <w:rPr>
          <w:rFonts w:ascii="Bookman Old Style" w:hAnsi="Bookman Old Style"/>
          <w:sz w:val="22"/>
          <w:szCs w:val="22"/>
        </w:rPr>
        <w:t xml:space="preserve">mette a disposizione sul proprio sito </w:t>
      </w:r>
      <w:r w:rsidR="00DF6086" w:rsidRPr="005C3604">
        <w:rPr>
          <w:rFonts w:ascii="Bookman Old Style" w:hAnsi="Bookman Old Style"/>
          <w:i/>
          <w:iCs/>
          <w:sz w:val="22"/>
          <w:szCs w:val="22"/>
        </w:rPr>
        <w:t>internet</w:t>
      </w:r>
      <w:r w:rsidR="00DF6086" w:rsidRPr="00D23E66">
        <w:rPr>
          <w:rFonts w:ascii="Bookman Old Style" w:hAnsi="Bookman Old Style"/>
          <w:sz w:val="22"/>
          <w:szCs w:val="22"/>
        </w:rPr>
        <w:t xml:space="preserve"> nel termine di 15 giorni dall’approvazione del presente regolamento. In tale dichiarazione il debitore indica altresì il numero di rate nel quale intende effettuare il pagamento</w:t>
      </w:r>
      <w:r w:rsidR="0034257F" w:rsidRPr="00D23E66">
        <w:rPr>
          <w:rFonts w:ascii="Bookman Old Style" w:hAnsi="Bookman Old Style"/>
          <w:sz w:val="22"/>
          <w:szCs w:val="22"/>
        </w:rPr>
        <w:t xml:space="preserve">. </w:t>
      </w:r>
    </w:p>
    <w:p w14:paraId="7EE93CD8" w14:textId="2ED89EF8" w:rsidR="00DF6086" w:rsidRPr="00D23E66" w:rsidRDefault="008C00E1">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2</w:t>
      </w:r>
      <w:r w:rsidR="00DF6086" w:rsidRPr="00D23E66">
        <w:rPr>
          <w:rFonts w:ascii="Bookman Old Style" w:hAnsi="Bookman Old Style"/>
          <w:sz w:val="22"/>
          <w:szCs w:val="22"/>
        </w:rPr>
        <w:t>. Il Comune (</w:t>
      </w:r>
      <w:r w:rsidR="00DF6086" w:rsidRPr="00D23E66">
        <w:rPr>
          <w:rFonts w:ascii="Bookman Old Style" w:hAnsi="Bookman Old Style"/>
          <w:i/>
          <w:color w:val="FF0000"/>
          <w:sz w:val="22"/>
          <w:szCs w:val="22"/>
        </w:rPr>
        <w:t xml:space="preserve">o il </w:t>
      </w:r>
      <w:proofErr w:type="gramStart"/>
      <w:r w:rsidR="00DF6086" w:rsidRPr="00D23E66">
        <w:rPr>
          <w:rFonts w:ascii="Bookman Old Style" w:hAnsi="Bookman Old Style"/>
          <w:i/>
          <w:color w:val="FF0000"/>
          <w:sz w:val="22"/>
          <w:szCs w:val="22"/>
        </w:rPr>
        <w:t>concessionario….</w:t>
      </w:r>
      <w:proofErr w:type="gramEnd"/>
      <w:r w:rsidR="00DF6086" w:rsidRPr="00D23E66">
        <w:rPr>
          <w:rFonts w:ascii="Bookman Old Style" w:hAnsi="Bookman Old Style"/>
          <w:i/>
          <w:color w:val="FF0000"/>
          <w:sz w:val="22"/>
          <w:szCs w:val="22"/>
        </w:rPr>
        <w:t>. o la società in house</w:t>
      </w:r>
      <w:r w:rsidR="00DF6086" w:rsidRPr="00D23E66">
        <w:rPr>
          <w:rFonts w:ascii="Bookman Old Style" w:hAnsi="Bookman Old Style"/>
          <w:i/>
          <w:sz w:val="22"/>
          <w:szCs w:val="22"/>
        </w:rPr>
        <w:t>)</w:t>
      </w:r>
      <w:r w:rsidR="00DF6086" w:rsidRPr="00D23E66">
        <w:rPr>
          <w:rFonts w:ascii="Bookman Old Style" w:hAnsi="Bookman Old Style"/>
          <w:sz w:val="22"/>
          <w:szCs w:val="22"/>
        </w:rPr>
        <w:t xml:space="preserve"> entro il </w:t>
      </w:r>
      <w:r w:rsidR="00191019" w:rsidRPr="00512B2D">
        <w:rPr>
          <w:rFonts w:ascii="Bookman Old Style" w:hAnsi="Bookman Old Style"/>
          <w:bCs/>
          <w:sz w:val="22"/>
          <w:szCs w:val="22"/>
        </w:rPr>
        <w:t>…</w:t>
      </w:r>
      <w:proofErr w:type="gramStart"/>
      <w:r w:rsidR="00191019" w:rsidRPr="00512B2D">
        <w:rPr>
          <w:rFonts w:ascii="Bookman Old Style" w:hAnsi="Bookman Old Style"/>
          <w:bCs/>
          <w:sz w:val="22"/>
          <w:szCs w:val="22"/>
        </w:rPr>
        <w:t>…….</w:t>
      </w:r>
      <w:proofErr w:type="gramEnd"/>
      <w:r w:rsidR="00191019" w:rsidRPr="00512B2D">
        <w:rPr>
          <w:rFonts w:ascii="Bookman Old Style" w:hAnsi="Bookman Old Style"/>
          <w:bCs/>
          <w:sz w:val="22"/>
          <w:szCs w:val="22"/>
        </w:rPr>
        <w:t xml:space="preserve">. </w:t>
      </w:r>
      <w:r w:rsidR="003571C9" w:rsidRPr="00512B2D">
        <w:rPr>
          <w:rFonts w:ascii="Bookman Old Style" w:hAnsi="Bookman Old Style"/>
          <w:bCs/>
          <w:sz w:val="22"/>
          <w:szCs w:val="22"/>
        </w:rPr>
        <w:t>(</w:t>
      </w:r>
      <w:r w:rsidR="009C77E1">
        <w:rPr>
          <w:rFonts w:ascii="Bookman Old Style" w:hAnsi="Bookman Old Style"/>
          <w:bCs/>
          <w:i/>
          <w:iCs/>
          <w:color w:val="FF0000"/>
          <w:sz w:val="22"/>
          <w:szCs w:val="22"/>
        </w:rPr>
        <w:t xml:space="preserve">indicare una </w:t>
      </w:r>
      <w:r w:rsidR="00101A27" w:rsidRPr="00512B2D">
        <w:rPr>
          <w:rFonts w:ascii="Bookman Old Style" w:hAnsi="Bookman Old Style"/>
          <w:bCs/>
          <w:i/>
          <w:iCs/>
          <w:color w:val="FF0000"/>
          <w:sz w:val="22"/>
          <w:szCs w:val="22"/>
        </w:rPr>
        <w:t>data in coerenza con le capacità operative delle strutture preposte</w:t>
      </w:r>
      <w:r w:rsidR="00101A27" w:rsidRPr="00512B2D">
        <w:rPr>
          <w:rFonts w:ascii="Bookman Old Style" w:hAnsi="Bookman Old Style"/>
          <w:bCs/>
          <w:sz w:val="22"/>
          <w:szCs w:val="22"/>
        </w:rPr>
        <w:t>)</w:t>
      </w:r>
      <w:r w:rsidR="00101A27" w:rsidRPr="00EC0148">
        <w:rPr>
          <w:rFonts w:ascii="Bookman Old Style" w:hAnsi="Bookman Old Style"/>
          <w:bCs/>
          <w:sz w:val="22"/>
          <w:szCs w:val="22"/>
        </w:rPr>
        <w:t xml:space="preserve"> </w:t>
      </w:r>
      <w:r w:rsidR="00EC0148" w:rsidRPr="00EC0148">
        <w:rPr>
          <w:rFonts w:ascii="Bookman Old Style" w:hAnsi="Bookman Old Style"/>
          <w:bCs/>
          <w:sz w:val="22"/>
          <w:szCs w:val="22"/>
        </w:rPr>
        <w:t>notifica</w:t>
      </w:r>
      <w:r w:rsidR="00DF6086" w:rsidRPr="00D23E66">
        <w:rPr>
          <w:rFonts w:ascii="Bookman Old Style" w:hAnsi="Bookman Old Style"/>
          <w:sz w:val="22"/>
          <w:szCs w:val="22"/>
        </w:rPr>
        <w:t xml:space="preserve"> ai debitori che hanno presentato la </w:t>
      </w:r>
      <w:r w:rsidR="00635C1F" w:rsidRPr="00D23E66">
        <w:rPr>
          <w:rFonts w:ascii="Bookman Old Style" w:hAnsi="Bookman Old Style"/>
          <w:sz w:val="22"/>
          <w:szCs w:val="22"/>
        </w:rPr>
        <w:t>dichiarazione di cui al c</w:t>
      </w:r>
      <w:r w:rsidR="00DF6086" w:rsidRPr="00D23E66">
        <w:rPr>
          <w:rFonts w:ascii="Bookman Old Style" w:hAnsi="Bookman Old Style"/>
          <w:sz w:val="22"/>
          <w:szCs w:val="22"/>
        </w:rPr>
        <w:t xml:space="preserve">omma </w:t>
      </w:r>
      <w:r w:rsidRPr="00D23E66">
        <w:rPr>
          <w:rFonts w:ascii="Bookman Old Style" w:hAnsi="Bookman Old Style"/>
          <w:sz w:val="22"/>
          <w:szCs w:val="22"/>
        </w:rPr>
        <w:t>1</w:t>
      </w:r>
      <w:r w:rsidR="00DF6086" w:rsidRPr="00D23E66">
        <w:rPr>
          <w:rFonts w:ascii="Bookman Old Style" w:hAnsi="Bookman Old Style"/>
          <w:sz w:val="22"/>
          <w:szCs w:val="22"/>
        </w:rPr>
        <w:t xml:space="preserve"> l’ammontare complessivo delle somme dovute ai fini della definizione, le modalità di pagamento, nonché l’importo delle singole rate, il giorno e il mese di scadenza di ciascuna di esse, attenendosi ai seguenti criteri:</w:t>
      </w:r>
    </w:p>
    <w:p w14:paraId="54D022BA" w14:textId="77777777" w:rsidR="00DF6086" w:rsidRPr="00D23E66"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a) versamento unico: entro il </w:t>
      </w:r>
      <w:r w:rsidR="00ED157D" w:rsidRPr="00512B2D">
        <w:rPr>
          <w:rFonts w:ascii="Bookman Old Style" w:hAnsi="Bookman Old Style"/>
          <w:bCs/>
          <w:sz w:val="22"/>
          <w:szCs w:val="22"/>
        </w:rPr>
        <w:t>…</w:t>
      </w:r>
      <w:proofErr w:type="gramStart"/>
      <w:r w:rsidR="00ED157D" w:rsidRPr="00512B2D">
        <w:rPr>
          <w:rFonts w:ascii="Bookman Old Style" w:hAnsi="Bookman Old Style"/>
          <w:bCs/>
          <w:sz w:val="22"/>
          <w:szCs w:val="22"/>
        </w:rPr>
        <w:t xml:space="preserve">…….. </w:t>
      </w:r>
      <w:r w:rsidRPr="00D23E66">
        <w:rPr>
          <w:rFonts w:ascii="Bookman Old Style" w:hAnsi="Bookman Old Style"/>
          <w:sz w:val="22"/>
          <w:szCs w:val="22"/>
        </w:rPr>
        <w:t>;</w:t>
      </w:r>
      <w:proofErr w:type="gramEnd"/>
    </w:p>
    <w:p w14:paraId="4FD127F0" w14:textId="5E3AE90F" w:rsidR="00DF6086" w:rsidRPr="00D23E66"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b) </w:t>
      </w:r>
      <w:r w:rsidR="00B91FCD" w:rsidRPr="00D23E66">
        <w:rPr>
          <w:rFonts w:ascii="Bookman Old Style" w:hAnsi="Bookman Old Style"/>
          <w:sz w:val="22"/>
          <w:szCs w:val="22"/>
        </w:rPr>
        <w:t xml:space="preserve">ovvero, </w:t>
      </w:r>
      <w:r w:rsidRPr="00D23E66">
        <w:rPr>
          <w:rFonts w:ascii="Bookman Old Style" w:hAnsi="Bookman Old Style"/>
          <w:sz w:val="22"/>
          <w:szCs w:val="22"/>
        </w:rPr>
        <w:t xml:space="preserve">versamento </w:t>
      </w:r>
      <w:r w:rsidR="00B91FCD" w:rsidRPr="00D23E66">
        <w:rPr>
          <w:rFonts w:ascii="Bookman Old Style" w:hAnsi="Bookman Old Style"/>
          <w:sz w:val="22"/>
          <w:szCs w:val="22"/>
        </w:rPr>
        <w:t xml:space="preserve">nel numero massimo di diciotto rate, la prima delle quali di importo pari al 10 per cento delle somme complessivamente dovute ai fini della definizione, con scadenza </w:t>
      </w:r>
      <w:r w:rsidR="00366808" w:rsidRPr="00D23E66">
        <w:rPr>
          <w:rFonts w:ascii="Bookman Old Style" w:hAnsi="Bookman Old Style"/>
          <w:sz w:val="22"/>
          <w:szCs w:val="22"/>
        </w:rPr>
        <w:t xml:space="preserve">al </w:t>
      </w:r>
      <w:r w:rsidR="00D65567" w:rsidRPr="00512B2D">
        <w:rPr>
          <w:rFonts w:ascii="Bookman Old Style" w:hAnsi="Bookman Old Style"/>
          <w:bCs/>
          <w:sz w:val="22"/>
          <w:szCs w:val="22"/>
        </w:rPr>
        <w:t>…</w:t>
      </w:r>
      <w:proofErr w:type="gramStart"/>
      <w:r w:rsidR="00D65567" w:rsidRPr="00512B2D">
        <w:rPr>
          <w:rFonts w:ascii="Bookman Old Style" w:hAnsi="Bookman Old Style"/>
          <w:bCs/>
          <w:sz w:val="22"/>
          <w:szCs w:val="22"/>
        </w:rPr>
        <w:t>…….</w:t>
      </w:r>
      <w:proofErr w:type="gramEnd"/>
      <w:r w:rsidR="00D65567" w:rsidRPr="00512B2D">
        <w:rPr>
          <w:rFonts w:ascii="Bookman Old Style" w:hAnsi="Bookman Old Style"/>
          <w:bCs/>
          <w:sz w:val="22"/>
          <w:szCs w:val="22"/>
        </w:rPr>
        <w:t>.</w:t>
      </w:r>
      <w:r w:rsidR="00B91FCD" w:rsidRPr="00D23E66">
        <w:rPr>
          <w:rFonts w:ascii="Bookman Old Style" w:hAnsi="Bookman Old Style"/>
          <w:sz w:val="22"/>
          <w:szCs w:val="22"/>
        </w:rPr>
        <w:t xml:space="preserve"> e le </w:t>
      </w:r>
      <w:proofErr w:type="gramStart"/>
      <w:r w:rsidR="00B91FCD" w:rsidRPr="00D23E66">
        <w:rPr>
          <w:rFonts w:ascii="Bookman Old Style" w:hAnsi="Bookman Old Style"/>
          <w:sz w:val="22"/>
          <w:szCs w:val="22"/>
        </w:rPr>
        <w:t xml:space="preserve">restanti </w:t>
      </w:r>
      <w:r w:rsidR="00B91FCD" w:rsidRPr="00353D34">
        <w:rPr>
          <w:rFonts w:ascii="Bookman Old Style" w:hAnsi="Bookman Old Style"/>
          <w:sz w:val="22"/>
          <w:szCs w:val="22"/>
        </w:rPr>
        <w:t xml:space="preserve"> rate</w:t>
      </w:r>
      <w:proofErr w:type="gramEnd"/>
      <w:r w:rsidR="00B91FCD" w:rsidRPr="00D23E66">
        <w:rPr>
          <w:rFonts w:ascii="Bookman Old Style" w:hAnsi="Bookman Old Style"/>
          <w:sz w:val="22"/>
          <w:szCs w:val="22"/>
        </w:rPr>
        <w:t xml:space="preserve">, di pari ammontare, con scadenza </w:t>
      </w:r>
      <w:r w:rsidR="00353D34">
        <w:rPr>
          <w:rFonts w:ascii="Bookman Old Style" w:hAnsi="Bookman Old Style"/>
          <w:sz w:val="22"/>
          <w:szCs w:val="22"/>
        </w:rPr>
        <w:t xml:space="preserve">al giorno </w:t>
      </w:r>
      <w:r w:rsidR="00EC0148">
        <w:rPr>
          <w:rFonts w:ascii="Bookman Old Style" w:hAnsi="Bookman Old Style"/>
          <w:sz w:val="22"/>
          <w:szCs w:val="22"/>
        </w:rPr>
        <w:t>……………</w:t>
      </w:r>
      <w:proofErr w:type="gramStart"/>
      <w:r w:rsidR="00EC0148">
        <w:rPr>
          <w:rFonts w:ascii="Bookman Old Style" w:hAnsi="Bookman Old Style"/>
          <w:sz w:val="22"/>
          <w:szCs w:val="22"/>
        </w:rPr>
        <w:t>…….</w:t>
      </w:r>
      <w:proofErr w:type="gramEnd"/>
      <w:r w:rsidR="00EC0148">
        <w:rPr>
          <w:rFonts w:ascii="Bookman Old Style" w:hAnsi="Bookman Old Style"/>
          <w:sz w:val="22"/>
          <w:szCs w:val="22"/>
        </w:rPr>
        <w:t>.</w:t>
      </w:r>
      <w:r w:rsidR="00B91FCD" w:rsidRPr="00241BDA">
        <w:rPr>
          <w:rFonts w:ascii="Bookman Old Style" w:hAnsi="Bookman Old Style"/>
          <w:sz w:val="22"/>
          <w:szCs w:val="22"/>
        </w:rPr>
        <w:t xml:space="preserve"> </w:t>
      </w:r>
      <w:r w:rsidR="00B91FCD" w:rsidRPr="00D23E66">
        <w:rPr>
          <w:rFonts w:ascii="Bookman Old Style" w:hAnsi="Bookman Old Style"/>
          <w:sz w:val="22"/>
          <w:szCs w:val="22"/>
        </w:rPr>
        <w:t xml:space="preserve">di ciascun </w:t>
      </w:r>
      <w:r w:rsidR="00353D34">
        <w:rPr>
          <w:rFonts w:ascii="Bookman Old Style" w:hAnsi="Bookman Old Style"/>
          <w:sz w:val="22"/>
          <w:szCs w:val="22"/>
        </w:rPr>
        <w:t xml:space="preserve">mese / trimestre solare </w:t>
      </w:r>
      <w:r w:rsidR="00B91FCD" w:rsidRPr="00D23E66">
        <w:rPr>
          <w:rFonts w:ascii="Bookman Old Style" w:hAnsi="Bookman Old Style"/>
          <w:sz w:val="22"/>
          <w:szCs w:val="22"/>
        </w:rPr>
        <w:t>a decorrere dal 202</w:t>
      </w:r>
      <w:r w:rsidR="00EC0148">
        <w:rPr>
          <w:rFonts w:ascii="Bookman Old Style" w:hAnsi="Bookman Old Style"/>
          <w:sz w:val="22"/>
          <w:szCs w:val="22"/>
        </w:rPr>
        <w:t>6</w:t>
      </w:r>
      <w:r w:rsidR="00B91FCD" w:rsidRPr="00D23E66">
        <w:rPr>
          <w:rStyle w:val="Rimandonotaapidipagina"/>
          <w:rFonts w:ascii="Bookman Old Style" w:hAnsi="Bookman Old Style"/>
          <w:sz w:val="22"/>
          <w:szCs w:val="22"/>
        </w:rPr>
        <w:footnoteReference w:id="5"/>
      </w:r>
      <w:r w:rsidR="00A34D3B" w:rsidRPr="00D23E66">
        <w:rPr>
          <w:rFonts w:ascii="Bookman Old Style" w:hAnsi="Bookman Old Style"/>
          <w:sz w:val="22"/>
          <w:szCs w:val="22"/>
        </w:rPr>
        <w:t xml:space="preserve">; </w:t>
      </w:r>
    </w:p>
    <w:p w14:paraId="25F61162" w14:textId="77777777" w:rsidR="00A34D3B" w:rsidRPr="00D23E66" w:rsidRDefault="00A34D3B">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c) </w:t>
      </w:r>
      <w:r w:rsidR="00353D34">
        <w:rPr>
          <w:rFonts w:ascii="Bookman Old Style" w:hAnsi="Bookman Old Style"/>
          <w:sz w:val="22"/>
          <w:szCs w:val="22"/>
        </w:rPr>
        <w:t>(</w:t>
      </w:r>
      <w:r w:rsidR="00353D34" w:rsidRPr="007F75EE">
        <w:rPr>
          <w:rFonts w:ascii="Bookman Old Style" w:hAnsi="Bookman Old Style"/>
          <w:i/>
          <w:iCs/>
          <w:sz w:val="22"/>
          <w:szCs w:val="22"/>
        </w:rPr>
        <w:t>opzionale</w:t>
      </w:r>
      <w:r w:rsidR="00353D34">
        <w:rPr>
          <w:rFonts w:ascii="Bookman Old Style" w:hAnsi="Bookman Old Style"/>
          <w:sz w:val="22"/>
          <w:szCs w:val="22"/>
        </w:rPr>
        <w:t xml:space="preserve">) </w:t>
      </w:r>
      <w:r w:rsidRPr="00D23E66">
        <w:rPr>
          <w:rFonts w:ascii="Bookman Old Style" w:hAnsi="Bookman Old Style"/>
          <w:sz w:val="22"/>
          <w:szCs w:val="22"/>
        </w:rPr>
        <w:t>esclusione della compensazione con crediti tributari del debitore</w:t>
      </w:r>
      <w:r w:rsidR="001242DD">
        <w:rPr>
          <w:rStyle w:val="Rimandonotaapidipagina"/>
          <w:rFonts w:ascii="Bookman Old Style" w:hAnsi="Bookman Old Style"/>
          <w:sz w:val="22"/>
          <w:szCs w:val="22"/>
        </w:rPr>
        <w:footnoteReference w:id="6"/>
      </w:r>
      <w:r w:rsidRPr="00D23E66">
        <w:rPr>
          <w:rFonts w:ascii="Bookman Old Style" w:hAnsi="Bookman Old Style"/>
          <w:sz w:val="22"/>
          <w:szCs w:val="22"/>
        </w:rPr>
        <w:t>.</w:t>
      </w:r>
    </w:p>
    <w:p w14:paraId="6C05A55B" w14:textId="77777777" w:rsidR="00DF6086" w:rsidRPr="00D23E66" w:rsidRDefault="001E43A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3</w:t>
      </w:r>
      <w:r w:rsidR="00B91FCD" w:rsidRPr="00D23E66">
        <w:rPr>
          <w:rFonts w:ascii="Bookman Old Style" w:hAnsi="Bookman Old Style"/>
          <w:sz w:val="22"/>
          <w:szCs w:val="22"/>
        </w:rPr>
        <w:t xml:space="preserve">. </w:t>
      </w:r>
      <w:r w:rsidR="00DF6086" w:rsidRPr="00D23E66">
        <w:rPr>
          <w:rFonts w:ascii="Bookman Old Style" w:hAnsi="Bookman Old Style"/>
          <w:sz w:val="22"/>
          <w:szCs w:val="22"/>
        </w:rPr>
        <w:t>Nel caso di versamento dilazionato in rate si applicano</w:t>
      </w:r>
      <w:r w:rsidR="00B91FCD" w:rsidRPr="00D23E66">
        <w:rPr>
          <w:rFonts w:ascii="Bookman Old Style" w:hAnsi="Bookman Old Style"/>
          <w:sz w:val="22"/>
          <w:szCs w:val="22"/>
        </w:rPr>
        <w:t xml:space="preserve">, a decorrere dal giorno successivo alla scadenza della prima rata, </w:t>
      </w:r>
      <w:r w:rsidR="00DF6086" w:rsidRPr="00D23E66">
        <w:rPr>
          <w:rFonts w:ascii="Bookman Old Style" w:hAnsi="Bookman Old Style"/>
          <w:sz w:val="22"/>
          <w:szCs w:val="22"/>
        </w:rPr>
        <w:t>gli interessi</w:t>
      </w:r>
      <w:r w:rsidR="00B91FCD" w:rsidRPr="00D23E66">
        <w:rPr>
          <w:rFonts w:ascii="Bookman Old Style" w:hAnsi="Bookman Old Style"/>
          <w:sz w:val="22"/>
          <w:szCs w:val="22"/>
        </w:rPr>
        <w:t xml:space="preserve"> al tasso </w:t>
      </w:r>
      <w:r w:rsidR="00EC0148">
        <w:rPr>
          <w:rFonts w:ascii="Bookman Old Style" w:hAnsi="Bookman Old Style"/>
          <w:sz w:val="22"/>
          <w:szCs w:val="22"/>
        </w:rPr>
        <w:t xml:space="preserve">legale </w:t>
      </w:r>
      <w:r w:rsidR="00353D34">
        <w:rPr>
          <w:rFonts w:ascii="Bookman Old Style" w:hAnsi="Bookman Old Style"/>
          <w:sz w:val="22"/>
          <w:szCs w:val="22"/>
        </w:rPr>
        <w:t>(</w:t>
      </w:r>
      <w:r w:rsidR="00353D34" w:rsidRPr="007F75EE">
        <w:rPr>
          <w:rFonts w:ascii="Bookman Old Style" w:hAnsi="Bookman Old Style"/>
          <w:i/>
          <w:iCs/>
          <w:sz w:val="22"/>
          <w:szCs w:val="22"/>
        </w:rPr>
        <w:t>opzionale</w:t>
      </w:r>
      <w:r w:rsidR="00353D34">
        <w:rPr>
          <w:rFonts w:ascii="Bookman Old Style" w:hAnsi="Bookman Old Style"/>
          <w:sz w:val="22"/>
          <w:szCs w:val="22"/>
        </w:rPr>
        <w:t xml:space="preserve">) </w:t>
      </w:r>
      <w:r w:rsidR="00EC0148">
        <w:rPr>
          <w:rFonts w:ascii="Bookman Old Style" w:hAnsi="Bookman Old Style"/>
          <w:sz w:val="22"/>
          <w:szCs w:val="22"/>
        </w:rPr>
        <w:t xml:space="preserve">maggiorato </w:t>
      </w:r>
      <w:r w:rsidR="00B91FCD" w:rsidRPr="00D23E66">
        <w:rPr>
          <w:rFonts w:ascii="Bookman Old Style" w:hAnsi="Bookman Old Style"/>
          <w:sz w:val="22"/>
          <w:szCs w:val="22"/>
        </w:rPr>
        <w:t xml:space="preserve">del </w:t>
      </w:r>
      <w:r w:rsidR="00B91FCD" w:rsidRPr="00D23E66">
        <w:rPr>
          <w:rFonts w:ascii="Bookman Old Style" w:hAnsi="Bookman Old Style"/>
          <w:b/>
          <w:bCs/>
          <w:sz w:val="22"/>
          <w:szCs w:val="22"/>
        </w:rPr>
        <w:t>2 per cento annuo</w:t>
      </w:r>
      <w:r w:rsidR="00B91FCD" w:rsidRPr="00D23E66">
        <w:rPr>
          <w:rStyle w:val="Rimandonotaapidipagina"/>
          <w:rFonts w:ascii="Bookman Old Style" w:hAnsi="Bookman Old Style"/>
          <w:sz w:val="22"/>
          <w:szCs w:val="22"/>
        </w:rPr>
        <w:footnoteReference w:id="7"/>
      </w:r>
      <w:r w:rsidRPr="00D23E66">
        <w:rPr>
          <w:rFonts w:ascii="Bookman Old Style" w:hAnsi="Bookman Old Style"/>
          <w:sz w:val="22"/>
          <w:szCs w:val="22"/>
        </w:rPr>
        <w:t>.</w:t>
      </w:r>
      <w:r w:rsidR="00B91FCD" w:rsidRPr="00D23E66">
        <w:rPr>
          <w:rFonts w:ascii="Bookman Old Style" w:hAnsi="Bookman Old Style"/>
          <w:sz w:val="22"/>
          <w:szCs w:val="22"/>
        </w:rPr>
        <w:t xml:space="preserve"> </w:t>
      </w:r>
    </w:p>
    <w:p w14:paraId="2FA57C36" w14:textId="77777777" w:rsidR="004F742A" w:rsidRPr="00D23E66" w:rsidRDefault="00651BAE">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4. Con la comunicazione di cui al comma 2, il Comune </w:t>
      </w:r>
      <w:r w:rsidR="00066182" w:rsidRPr="00D23E66">
        <w:rPr>
          <w:rFonts w:ascii="Bookman Old Style" w:hAnsi="Bookman Old Style"/>
          <w:sz w:val="22"/>
          <w:szCs w:val="22"/>
        </w:rPr>
        <w:t>(</w:t>
      </w:r>
      <w:r w:rsidR="00066182" w:rsidRPr="00D23E66">
        <w:rPr>
          <w:rFonts w:ascii="Bookman Old Style" w:hAnsi="Bookman Old Style"/>
          <w:i/>
          <w:color w:val="FF0000"/>
          <w:sz w:val="22"/>
          <w:szCs w:val="22"/>
        </w:rPr>
        <w:t xml:space="preserve">o il </w:t>
      </w:r>
      <w:proofErr w:type="gramStart"/>
      <w:r w:rsidR="00066182" w:rsidRPr="00D23E66">
        <w:rPr>
          <w:rFonts w:ascii="Bookman Old Style" w:hAnsi="Bookman Old Style"/>
          <w:i/>
          <w:color w:val="FF0000"/>
          <w:sz w:val="22"/>
          <w:szCs w:val="22"/>
        </w:rPr>
        <w:t>concessionario….</w:t>
      </w:r>
      <w:proofErr w:type="gramEnd"/>
      <w:r w:rsidR="00066182" w:rsidRPr="00D23E66">
        <w:rPr>
          <w:rFonts w:ascii="Bookman Old Style" w:hAnsi="Bookman Old Style"/>
          <w:i/>
          <w:color w:val="FF0000"/>
          <w:sz w:val="22"/>
          <w:szCs w:val="22"/>
        </w:rPr>
        <w:t>. o la società in house</w:t>
      </w:r>
      <w:r w:rsidR="00066182" w:rsidRPr="00D23E66">
        <w:rPr>
          <w:rFonts w:ascii="Bookman Old Style" w:hAnsi="Bookman Old Style"/>
          <w:i/>
          <w:sz w:val="22"/>
          <w:szCs w:val="22"/>
        </w:rPr>
        <w:t>)</w:t>
      </w:r>
      <w:r w:rsidR="00066182" w:rsidRPr="00D23E66">
        <w:rPr>
          <w:rFonts w:ascii="Bookman Old Style" w:hAnsi="Bookman Old Style"/>
          <w:sz w:val="22"/>
          <w:szCs w:val="22"/>
        </w:rPr>
        <w:t xml:space="preserve"> indica anche l</w:t>
      </w:r>
      <w:r w:rsidRPr="00D23E66">
        <w:rPr>
          <w:rFonts w:ascii="Bookman Old Style" w:hAnsi="Bookman Old Style"/>
          <w:sz w:val="22"/>
          <w:szCs w:val="22"/>
        </w:rPr>
        <w:t xml:space="preserve">'eventuale diniego </w:t>
      </w:r>
      <w:r w:rsidR="00CB1581" w:rsidRPr="00D23E66">
        <w:rPr>
          <w:rFonts w:ascii="Bookman Old Style" w:hAnsi="Bookman Old Style"/>
          <w:sz w:val="22"/>
          <w:szCs w:val="22"/>
        </w:rPr>
        <w:t>alla</w:t>
      </w:r>
      <w:r w:rsidRPr="00D23E66">
        <w:rPr>
          <w:rFonts w:ascii="Bookman Old Style" w:hAnsi="Bookman Old Style"/>
          <w:sz w:val="22"/>
          <w:szCs w:val="22"/>
        </w:rPr>
        <w:t xml:space="preserve"> definizione agevolata, totale e pa</w:t>
      </w:r>
      <w:r w:rsidR="00066182" w:rsidRPr="00D23E66">
        <w:rPr>
          <w:rFonts w:ascii="Bookman Old Style" w:hAnsi="Bookman Old Style"/>
          <w:sz w:val="22"/>
          <w:szCs w:val="22"/>
        </w:rPr>
        <w:t xml:space="preserve">rziale. </w:t>
      </w:r>
    </w:p>
    <w:p w14:paraId="7A9AE9AC" w14:textId="77777777" w:rsidR="00CB1581" w:rsidRPr="00D23E66" w:rsidRDefault="00CB1581">
      <w:pPr>
        <w:pStyle w:val="Rientrocorpodeltesto"/>
        <w:spacing w:after="120" w:line="288" w:lineRule="auto"/>
        <w:rPr>
          <w:rFonts w:ascii="Bookman Old Style" w:hAnsi="Bookman Old Style"/>
          <w:sz w:val="22"/>
          <w:szCs w:val="22"/>
        </w:rPr>
      </w:pPr>
    </w:p>
    <w:p w14:paraId="24036552" w14:textId="77777777" w:rsidR="004F742A" w:rsidRPr="00D23E66" w:rsidRDefault="004F742A">
      <w:pPr>
        <w:pStyle w:val="Titolo3"/>
        <w:spacing w:after="120" w:line="288" w:lineRule="auto"/>
        <w:jc w:val="left"/>
        <w:rPr>
          <w:rFonts w:ascii="Bookman Old Style" w:hAnsi="Bookman Old Style"/>
          <w:i/>
          <w:sz w:val="22"/>
          <w:szCs w:val="22"/>
        </w:rPr>
      </w:pPr>
      <w:bookmarkStart w:id="4" w:name="_Toc218672100"/>
      <w:r w:rsidRPr="00D23E66">
        <w:rPr>
          <w:rFonts w:ascii="Bookman Old Style" w:hAnsi="Bookman Old Style"/>
          <w:sz w:val="22"/>
          <w:szCs w:val="22"/>
        </w:rPr>
        <w:lastRenderedPageBreak/>
        <w:t xml:space="preserve">Articolo </w:t>
      </w:r>
      <w:r w:rsidR="00050B39" w:rsidRPr="00D23E66">
        <w:rPr>
          <w:rFonts w:ascii="Bookman Old Style" w:hAnsi="Bookman Old Style"/>
          <w:sz w:val="22"/>
          <w:szCs w:val="22"/>
        </w:rPr>
        <w:t>4</w:t>
      </w:r>
      <w:r w:rsidRPr="00D23E66">
        <w:rPr>
          <w:rFonts w:ascii="Bookman Old Style" w:hAnsi="Bookman Old Style"/>
          <w:sz w:val="22"/>
          <w:szCs w:val="22"/>
        </w:rPr>
        <w:t xml:space="preserve"> </w:t>
      </w:r>
      <w:r w:rsidRPr="00D23E66">
        <w:rPr>
          <w:rFonts w:ascii="Bookman Old Style" w:hAnsi="Bookman Old Style"/>
          <w:i/>
          <w:sz w:val="22"/>
          <w:szCs w:val="22"/>
        </w:rPr>
        <w:t xml:space="preserve">– </w:t>
      </w:r>
      <w:r w:rsidRPr="00CC47B6">
        <w:rPr>
          <w:rFonts w:ascii="Bookman Old Style" w:hAnsi="Bookman Old Style"/>
          <w:iCs/>
          <w:sz w:val="22"/>
          <w:szCs w:val="22"/>
        </w:rPr>
        <w:t>Effetti della definizione agevolata</w:t>
      </w:r>
      <w:bookmarkEnd w:id="4"/>
    </w:p>
    <w:p w14:paraId="3152BBC1" w14:textId="77777777" w:rsidR="00DF6086" w:rsidRPr="00D23E66" w:rsidRDefault="004F742A">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1</w:t>
      </w:r>
      <w:r w:rsidR="00DF6086" w:rsidRPr="00D23E66">
        <w:rPr>
          <w:rFonts w:ascii="Bookman Old Style" w:hAnsi="Bookman Old Style"/>
          <w:sz w:val="22"/>
          <w:szCs w:val="22"/>
        </w:rPr>
        <w:t xml:space="preserve">. Il pagamento della prima o unica rata delle somme dovute ai fini della definizione determina, limitatamente ai debiti definibili, la revoca automatica dell’eventuale dilazione </w:t>
      </w:r>
      <w:r w:rsidR="00CB1581" w:rsidRPr="00D23E66">
        <w:rPr>
          <w:rFonts w:ascii="Bookman Old Style" w:hAnsi="Bookman Old Style"/>
          <w:sz w:val="22"/>
          <w:szCs w:val="22"/>
        </w:rPr>
        <w:t xml:space="preserve">precedentemente accordata </w:t>
      </w:r>
      <w:r w:rsidR="00DF6086" w:rsidRPr="00D23E66">
        <w:rPr>
          <w:rFonts w:ascii="Bookman Old Style" w:hAnsi="Bookman Old Style"/>
          <w:sz w:val="22"/>
          <w:szCs w:val="22"/>
        </w:rPr>
        <w:t>ancora in essere.</w:t>
      </w:r>
    </w:p>
    <w:p w14:paraId="4DF9A119" w14:textId="5D2B4C22" w:rsidR="00B442EC" w:rsidRPr="00D23E66" w:rsidRDefault="004F742A">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2</w:t>
      </w:r>
      <w:r w:rsidR="00DF6086" w:rsidRPr="00D23E66">
        <w:rPr>
          <w:rFonts w:ascii="Bookman Old Style" w:hAnsi="Bookman Old Style"/>
          <w:sz w:val="22"/>
          <w:szCs w:val="22"/>
        </w:rPr>
        <w:t xml:space="preserve">. </w:t>
      </w:r>
      <w:r w:rsidR="00B442EC" w:rsidRPr="00D23E66">
        <w:rPr>
          <w:rFonts w:ascii="Bookman Old Style" w:hAnsi="Bookman Old Style"/>
          <w:sz w:val="22"/>
          <w:szCs w:val="22"/>
        </w:rPr>
        <w:t>In caso di mancato ovvero di insufficiente o tardivo versamento, superiore a cinque giorni</w:t>
      </w:r>
      <w:r w:rsidR="00F233CF">
        <w:rPr>
          <w:rFonts w:ascii="Bookman Old Style" w:hAnsi="Bookman Old Style"/>
          <w:sz w:val="22"/>
          <w:szCs w:val="22"/>
        </w:rPr>
        <w:t xml:space="preserve"> rispetto alla scadenza stabilita</w:t>
      </w:r>
      <w:r w:rsidR="00B442EC" w:rsidRPr="00D23E66">
        <w:rPr>
          <w:rFonts w:ascii="Bookman Old Style" w:hAnsi="Bookman Old Style"/>
          <w:sz w:val="22"/>
          <w:szCs w:val="22"/>
        </w:rPr>
        <w:t xml:space="preserve">, dell'unica rata ovvero di una di quelle in cui è stato dilazionato il pagamento delle somme, la definizione non produce effetti. In tal caso, relativamente ai debiti per i quali la definizione non ha prodotto effetti, i versamenti effettuati sono acquisiti a titolo di acconto </w:t>
      </w:r>
      <w:r w:rsidR="007B349E">
        <w:rPr>
          <w:rFonts w:ascii="Bookman Old Style" w:hAnsi="Bookman Old Style"/>
          <w:sz w:val="22"/>
          <w:szCs w:val="22"/>
        </w:rPr>
        <w:t xml:space="preserve">ai fini del calcolo </w:t>
      </w:r>
      <w:r w:rsidR="00B442EC" w:rsidRPr="00D23E66">
        <w:rPr>
          <w:rFonts w:ascii="Bookman Old Style" w:hAnsi="Bookman Old Style"/>
          <w:sz w:val="22"/>
          <w:szCs w:val="22"/>
        </w:rPr>
        <w:t>dell'importo complessivamente dovuto.</w:t>
      </w:r>
    </w:p>
    <w:p w14:paraId="7CA60895" w14:textId="77777777" w:rsidR="00DF6086" w:rsidRPr="00D23E66" w:rsidRDefault="00DF6086">
      <w:pPr>
        <w:pStyle w:val="Rientrocorpodeltesto"/>
        <w:spacing w:after="120" w:line="288" w:lineRule="auto"/>
        <w:rPr>
          <w:rFonts w:ascii="Bookman Old Style" w:hAnsi="Bookman Old Style"/>
          <w:sz w:val="22"/>
          <w:szCs w:val="22"/>
        </w:rPr>
      </w:pPr>
    </w:p>
    <w:p w14:paraId="08A4276E" w14:textId="77777777" w:rsidR="00DF6086" w:rsidRPr="00D23E66" w:rsidRDefault="00DF6086">
      <w:pPr>
        <w:pStyle w:val="Titolo3"/>
        <w:spacing w:after="120" w:line="288" w:lineRule="auto"/>
        <w:jc w:val="left"/>
        <w:rPr>
          <w:rFonts w:ascii="Bookman Old Style" w:hAnsi="Bookman Old Style"/>
          <w:i/>
          <w:sz w:val="22"/>
          <w:szCs w:val="22"/>
        </w:rPr>
      </w:pPr>
      <w:bookmarkStart w:id="5" w:name="_Toc218672101"/>
      <w:r w:rsidRPr="00D23E66">
        <w:rPr>
          <w:rFonts w:ascii="Bookman Old Style" w:hAnsi="Bookman Old Style"/>
          <w:sz w:val="22"/>
          <w:szCs w:val="22"/>
        </w:rPr>
        <w:t xml:space="preserve">Articolo </w:t>
      </w:r>
      <w:r w:rsidR="00050B39" w:rsidRPr="00D23E66">
        <w:rPr>
          <w:rFonts w:ascii="Bookman Old Style" w:hAnsi="Bookman Old Style"/>
          <w:sz w:val="22"/>
          <w:szCs w:val="22"/>
        </w:rPr>
        <w:t>5</w:t>
      </w:r>
      <w:r w:rsidRPr="00D23E66">
        <w:rPr>
          <w:rFonts w:ascii="Bookman Old Style" w:hAnsi="Bookman Old Style"/>
          <w:sz w:val="22"/>
          <w:szCs w:val="22"/>
        </w:rPr>
        <w:t xml:space="preserve"> – </w:t>
      </w:r>
      <w:r w:rsidRPr="00CC47B6">
        <w:rPr>
          <w:rFonts w:ascii="Bookman Old Style" w:hAnsi="Bookman Old Style"/>
          <w:iCs/>
          <w:sz w:val="22"/>
          <w:szCs w:val="22"/>
        </w:rPr>
        <w:t>Definizione agevolata degli importi oggetto di rateizzazione</w:t>
      </w:r>
      <w:bookmarkEnd w:id="5"/>
      <w:r w:rsidRPr="00D23E66">
        <w:rPr>
          <w:rFonts w:ascii="Bookman Old Style" w:hAnsi="Bookman Old Style"/>
          <w:i/>
          <w:sz w:val="22"/>
          <w:szCs w:val="22"/>
        </w:rPr>
        <w:t xml:space="preserve"> </w:t>
      </w:r>
    </w:p>
    <w:p w14:paraId="1C895EA3" w14:textId="77777777" w:rsidR="00DF6086" w:rsidRPr="00D23E66"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1. La facoltà di definizione prevista dall’articolo 2 può essere esercitata anche dai debitori che hanno già pagato parzialmente, anche a seguito di provvedimenti di dilazione emessi dal Comune (</w:t>
      </w:r>
      <w:r w:rsidRPr="00D23E66">
        <w:rPr>
          <w:rFonts w:ascii="Bookman Old Style" w:hAnsi="Bookman Old Style"/>
          <w:i/>
          <w:color w:val="FF0000"/>
          <w:sz w:val="22"/>
          <w:szCs w:val="22"/>
        </w:rPr>
        <w:t xml:space="preserve">o dal </w:t>
      </w:r>
      <w:proofErr w:type="gramStart"/>
      <w:r w:rsidRPr="00D23E66">
        <w:rPr>
          <w:rFonts w:ascii="Bookman Old Style" w:hAnsi="Bookman Old Style"/>
          <w:i/>
          <w:color w:val="FF0000"/>
          <w:sz w:val="22"/>
          <w:szCs w:val="22"/>
        </w:rPr>
        <w:t>concessionario….</w:t>
      </w:r>
      <w:proofErr w:type="gramEnd"/>
      <w:r w:rsidRPr="00D23E66">
        <w:rPr>
          <w:rFonts w:ascii="Bookman Old Style" w:hAnsi="Bookman Old Style"/>
          <w:i/>
          <w:color w:val="FF0000"/>
          <w:sz w:val="22"/>
          <w:szCs w:val="22"/>
        </w:rPr>
        <w:t xml:space="preserve">. o dalla società in </w:t>
      </w:r>
      <w:proofErr w:type="gramStart"/>
      <w:r w:rsidRPr="00D23E66">
        <w:rPr>
          <w:rFonts w:ascii="Bookman Old Style" w:hAnsi="Bookman Old Style"/>
          <w:i/>
          <w:color w:val="FF0000"/>
          <w:sz w:val="22"/>
          <w:szCs w:val="22"/>
        </w:rPr>
        <w:t>house</w:t>
      </w:r>
      <w:r w:rsidRPr="00D23E66">
        <w:rPr>
          <w:rFonts w:ascii="Bookman Old Style" w:hAnsi="Bookman Old Style"/>
          <w:color w:val="FF0000"/>
          <w:sz w:val="22"/>
          <w:szCs w:val="22"/>
        </w:rPr>
        <w:t xml:space="preserve"> </w:t>
      </w:r>
      <w:r w:rsidRPr="00D23E66">
        <w:rPr>
          <w:rFonts w:ascii="Bookman Old Style" w:hAnsi="Bookman Old Style"/>
          <w:sz w:val="22"/>
          <w:szCs w:val="22"/>
        </w:rPr>
        <w:t>)</w:t>
      </w:r>
      <w:proofErr w:type="gramEnd"/>
      <w:r w:rsidRPr="00D23E66">
        <w:rPr>
          <w:rFonts w:ascii="Bookman Old Style" w:hAnsi="Bookman Old Style"/>
          <w:sz w:val="22"/>
          <w:szCs w:val="22"/>
        </w:rPr>
        <w:t xml:space="preserve">, le somme dovute relativamente alle ingiunzioni di pagamento </w:t>
      </w:r>
      <w:r w:rsidR="00050B39" w:rsidRPr="00D23E66">
        <w:rPr>
          <w:rFonts w:ascii="Bookman Old Style" w:hAnsi="Bookman Old Style"/>
          <w:sz w:val="22"/>
          <w:szCs w:val="22"/>
        </w:rPr>
        <w:t xml:space="preserve">ed agli accertamenti esecutivi </w:t>
      </w:r>
      <w:r w:rsidRPr="00D23E66">
        <w:rPr>
          <w:rFonts w:ascii="Bookman Old Style" w:hAnsi="Bookman Old Style"/>
          <w:sz w:val="22"/>
          <w:szCs w:val="22"/>
        </w:rPr>
        <w:t xml:space="preserve">di cui all’articolo 2, comma </w:t>
      </w:r>
      <w:r w:rsidR="00BE48C1" w:rsidRPr="00D23E66">
        <w:rPr>
          <w:rFonts w:ascii="Bookman Old Style" w:hAnsi="Bookman Old Style"/>
          <w:sz w:val="22"/>
          <w:szCs w:val="22"/>
        </w:rPr>
        <w:t>2</w:t>
      </w:r>
      <w:r w:rsidRPr="00D23E66">
        <w:rPr>
          <w:rFonts w:ascii="Bookman Old Style" w:hAnsi="Bookman Old Style"/>
          <w:sz w:val="22"/>
          <w:szCs w:val="22"/>
        </w:rPr>
        <w:t xml:space="preserve">. In tal caso, ai fini della determinazione dell’ammontare delle somme da versare ai sensi dell’articolo </w:t>
      </w:r>
      <w:r w:rsidR="00BE48C1" w:rsidRPr="00D23E66">
        <w:rPr>
          <w:rFonts w:ascii="Bookman Old Style" w:hAnsi="Bookman Old Style"/>
          <w:sz w:val="22"/>
          <w:szCs w:val="22"/>
        </w:rPr>
        <w:t>3</w:t>
      </w:r>
      <w:r w:rsidRPr="00D23E66">
        <w:rPr>
          <w:rFonts w:ascii="Bookman Old Style" w:hAnsi="Bookman Old Style"/>
          <w:sz w:val="22"/>
          <w:szCs w:val="22"/>
        </w:rPr>
        <w:t xml:space="preserve">, comma </w:t>
      </w:r>
      <w:r w:rsidR="001E43AF" w:rsidRPr="00D23E66">
        <w:rPr>
          <w:rFonts w:ascii="Bookman Old Style" w:hAnsi="Bookman Old Style"/>
          <w:sz w:val="22"/>
          <w:szCs w:val="22"/>
        </w:rPr>
        <w:t>2</w:t>
      </w:r>
      <w:r w:rsidRPr="00D23E66">
        <w:rPr>
          <w:rFonts w:ascii="Bookman Old Style" w:hAnsi="Bookman Old Style"/>
          <w:sz w:val="22"/>
          <w:szCs w:val="22"/>
        </w:rPr>
        <w:t>, non si tiene conto degli importi già versati a titolo di sanzioni ed interessi, compresi quelli di dilazione, che r</w:t>
      </w:r>
      <w:r w:rsidR="00BE48C1" w:rsidRPr="00D23E66">
        <w:rPr>
          <w:rFonts w:ascii="Bookman Old Style" w:hAnsi="Bookman Old Style"/>
          <w:sz w:val="22"/>
          <w:szCs w:val="22"/>
        </w:rPr>
        <w:t>estano definitivamente acquisiti</w:t>
      </w:r>
      <w:r w:rsidRPr="00D23E66">
        <w:rPr>
          <w:rFonts w:ascii="Bookman Old Style" w:hAnsi="Bookman Old Style"/>
          <w:sz w:val="22"/>
          <w:szCs w:val="22"/>
        </w:rPr>
        <w:t xml:space="preserve"> e non sono rimborsabili.</w:t>
      </w:r>
    </w:p>
    <w:p w14:paraId="5D00451E" w14:textId="77777777" w:rsidR="00444103"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2. A seguito della presentazione della dichiarazione di cui all’artic</w:t>
      </w:r>
      <w:r w:rsidR="00BE48C1" w:rsidRPr="00D23E66">
        <w:rPr>
          <w:rFonts w:ascii="Bookman Old Style" w:hAnsi="Bookman Old Style"/>
          <w:sz w:val="22"/>
          <w:szCs w:val="22"/>
        </w:rPr>
        <w:t>olo 3</w:t>
      </w:r>
      <w:r w:rsidRPr="00D23E66">
        <w:rPr>
          <w:rFonts w:ascii="Bookman Old Style" w:hAnsi="Bookman Old Style"/>
          <w:sz w:val="22"/>
          <w:szCs w:val="22"/>
        </w:rPr>
        <w:t xml:space="preserve">, comma </w:t>
      </w:r>
      <w:r w:rsidR="00BE48C1" w:rsidRPr="00D23E66">
        <w:rPr>
          <w:rFonts w:ascii="Bookman Old Style" w:hAnsi="Bookman Old Style"/>
          <w:sz w:val="22"/>
          <w:szCs w:val="22"/>
        </w:rPr>
        <w:t>1</w:t>
      </w:r>
      <w:r w:rsidRPr="00D23E66">
        <w:rPr>
          <w:rFonts w:ascii="Bookman Old Style" w:hAnsi="Bookman Old Style"/>
          <w:sz w:val="22"/>
          <w:szCs w:val="22"/>
        </w:rPr>
        <w:t xml:space="preserve">, sono sospesi, per i debiti oggetto della domanda di definizione, fino alla scadenza della prima o unica rata delle somme dovute, gli obblighi di pagamento derivanti da precedenti dilazioni in essere relativamente alle rate in scadenza in data successiva </w:t>
      </w:r>
      <w:r w:rsidR="00BE48C1" w:rsidRPr="00D23E66">
        <w:rPr>
          <w:rFonts w:ascii="Bookman Old Style" w:hAnsi="Bookman Old Style"/>
          <w:sz w:val="22"/>
          <w:szCs w:val="22"/>
        </w:rPr>
        <w:t>alla data di presentazione della domanda di definizione</w:t>
      </w:r>
      <w:r w:rsidRPr="00D23E66">
        <w:rPr>
          <w:rFonts w:ascii="Bookman Old Style" w:hAnsi="Bookman Old Style"/>
          <w:sz w:val="22"/>
          <w:szCs w:val="22"/>
        </w:rPr>
        <w:t>.</w:t>
      </w:r>
    </w:p>
    <w:p w14:paraId="2B8CBDE6" w14:textId="77777777" w:rsidR="00BE74EF" w:rsidRPr="00D23E66" w:rsidRDefault="00BE74EF">
      <w:pPr>
        <w:pStyle w:val="Rientrocorpodeltesto"/>
        <w:spacing w:after="120" w:line="288" w:lineRule="auto"/>
        <w:rPr>
          <w:rFonts w:ascii="Bookman Old Style" w:hAnsi="Bookman Old Style"/>
          <w:sz w:val="22"/>
          <w:szCs w:val="22"/>
        </w:rPr>
      </w:pPr>
    </w:p>
    <w:p w14:paraId="6E6868B0" w14:textId="74586242" w:rsidR="00DF6086" w:rsidRPr="00CC47B6" w:rsidRDefault="00DF6086">
      <w:pPr>
        <w:pStyle w:val="Titolo3"/>
        <w:spacing w:after="120" w:line="288" w:lineRule="auto"/>
        <w:jc w:val="left"/>
        <w:rPr>
          <w:rFonts w:ascii="Bookman Old Style" w:hAnsi="Bookman Old Style"/>
          <w:iCs/>
          <w:sz w:val="22"/>
          <w:szCs w:val="22"/>
        </w:rPr>
      </w:pPr>
      <w:bookmarkStart w:id="6" w:name="_Toc218672102"/>
      <w:r w:rsidRPr="00D23E66">
        <w:rPr>
          <w:rFonts w:ascii="Bookman Old Style" w:hAnsi="Bookman Old Style"/>
          <w:sz w:val="22"/>
          <w:szCs w:val="22"/>
        </w:rPr>
        <w:t xml:space="preserve">Articolo </w:t>
      </w:r>
      <w:r w:rsidR="00BE48C1" w:rsidRPr="00D23E66">
        <w:rPr>
          <w:rFonts w:ascii="Bookman Old Style" w:hAnsi="Bookman Old Style"/>
          <w:sz w:val="22"/>
          <w:szCs w:val="22"/>
        </w:rPr>
        <w:t>6</w:t>
      </w:r>
      <w:r w:rsidRPr="00D23E66">
        <w:rPr>
          <w:rFonts w:ascii="Bookman Old Style" w:hAnsi="Bookman Old Style"/>
          <w:sz w:val="22"/>
          <w:szCs w:val="22"/>
        </w:rPr>
        <w:t xml:space="preserve"> – </w:t>
      </w:r>
      <w:r w:rsidRPr="00CC47B6">
        <w:rPr>
          <w:rFonts w:ascii="Bookman Old Style" w:hAnsi="Bookman Old Style"/>
          <w:iCs/>
          <w:sz w:val="22"/>
          <w:szCs w:val="22"/>
        </w:rPr>
        <w:t>Definizione agevolata degli importi inclusi in accordi o piani del consumatore</w:t>
      </w:r>
      <w:r w:rsidR="00BE48C1" w:rsidRPr="00CC47B6">
        <w:rPr>
          <w:rStyle w:val="Rimandonotaapidipagina"/>
          <w:rFonts w:ascii="Bookman Old Style" w:hAnsi="Bookman Old Style"/>
          <w:iCs/>
          <w:sz w:val="22"/>
          <w:szCs w:val="22"/>
        </w:rPr>
        <w:footnoteReference w:id="8"/>
      </w:r>
      <w:bookmarkEnd w:id="6"/>
    </w:p>
    <w:p w14:paraId="36850B25" w14:textId="77777777" w:rsidR="002211B9" w:rsidRPr="00A6766D" w:rsidRDefault="00DF6086" w:rsidP="00A6766D">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Sono compresi nella definizione agevolata di cui all’articolo 2, comma 1, </w:t>
      </w:r>
      <w:r w:rsidR="00A6766D" w:rsidRPr="00A6766D">
        <w:rPr>
          <w:rFonts w:ascii="Bookman Old Style" w:hAnsi="Bookman Old Style"/>
        </w:rPr>
        <w:t>anche</w:t>
      </w:r>
      <w:r w:rsidR="00A6766D">
        <w:rPr>
          <w:rFonts w:ascii="Bookman Old Style" w:hAnsi="Bookman Old Style"/>
        </w:rPr>
        <w:t xml:space="preserve"> </w:t>
      </w:r>
      <w:r w:rsidR="00A6766D" w:rsidRPr="00A6766D">
        <w:rPr>
          <w:rFonts w:ascii="Bookman Old Style" w:hAnsi="Bookman Old Style"/>
        </w:rPr>
        <w:t xml:space="preserve">i </w:t>
      </w:r>
      <w:r w:rsidR="00A6766D" w:rsidRPr="00A6766D">
        <w:rPr>
          <w:rFonts w:ascii="Bookman Old Style" w:hAnsi="Bookman Old Style"/>
          <w:sz w:val="22"/>
          <w:szCs w:val="22"/>
        </w:rPr>
        <w:t>debiti che rientrano nei</w:t>
      </w:r>
      <w:r w:rsidR="00A6766D">
        <w:rPr>
          <w:rFonts w:ascii="Bookman Old Style" w:hAnsi="Bookman Old Style"/>
          <w:sz w:val="22"/>
          <w:szCs w:val="22"/>
        </w:rPr>
        <w:t xml:space="preserve"> </w:t>
      </w:r>
      <w:r w:rsidR="00A6766D" w:rsidRPr="00A6766D">
        <w:rPr>
          <w:rFonts w:ascii="Bookman Old Style" w:hAnsi="Bookman Old Style"/>
          <w:sz w:val="22"/>
          <w:szCs w:val="22"/>
        </w:rPr>
        <w:t>procedimenti instaurati a seguito di istanza</w:t>
      </w:r>
      <w:r w:rsidR="00A6766D">
        <w:rPr>
          <w:rFonts w:ascii="Bookman Old Style" w:hAnsi="Bookman Old Style"/>
          <w:sz w:val="22"/>
          <w:szCs w:val="22"/>
        </w:rPr>
        <w:t xml:space="preserve"> </w:t>
      </w:r>
      <w:r w:rsidR="00A6766D" w:rsidRPr="00A6766D">
        <w:rPr>
          <w:rFonts w:ascii="Bookman Old Style" w:hAnsi="Bookman Old Style"/>
          <w:sz w:val="22"/>
          <w:szCs w:val="22"/>
        </w:rPr>
        <w:t>presentata dai debitori ai sensi del capo II,</w:t>
      </w:r>
      <w:r w:rsidR="00A6766D">
        <w:rPr>
          <w:rFonts w:ascii="Bookman Old Style" w:hAnsi="Bookman Old Style"/>
          <w:sz w:val="22"/>
          <w:szCs w:val="22"/>
        </w:rPr>
        <w:t xml:space="preserve"> </w:t>
      </w:r>
      <w:r w:rsidR="00A6766D" w:rsidRPr="00A6766D">
        <w:rPr>
          <w:rFonts w:ascii="Bookman Old Style" w:hAnsi="Bookman Old Style"/>
          <w:sz w:val="22"/>
          <w:szCs w:val="22"/>
        </w:rPr>
        <w:t>sezione prima, della legge 27 gennaio 2012,</w:t>
      </w:r>
      <w:r w:rsidR="00A6766D">
        <w:rPr>
          <w:rFonts w:ascii="Bookman Old Style" w:hAnsi="Bookman Old Style"/>
          <w:sz w:val="22"/>
          <w:szCs w:val="22"/>
        </w:rPr>
        <w:t xml:space="preserve"> </w:t>
      </w:r>
      <w:r w:rsidR="00A6766D" w:rsidRPr="00A6766D">
        <w:rPr>
          <w:rFonts w:ascii="Bookman Old Style" w:hAnsi="Bookman Old Style"/>
          <w:sz w:val="22"/>
          <w:szCs w:val="22"/>
        </w:rPr>
        <w:t>n. 3, o della parte prima, titolo IV, capo II,</w:t>
      </w:r>
      <w:r w:rsidR="00A6766D">
        <w:rPr>
          <w:rFonts w:ascii="Bookman Old Style" w:hAnsi="Bookman Old Style"/>
          <w:sz w:val="22"/>
          <w:szCs w:val="22"/>
        </w:rPr>
        <w:t xml:space="preserve"> </w:t>
      </w:r>
      <w:r w:rsidR="00A6766D" w:rsidRPr="00A6766D">
        <w:rPr>
          <w:rFonts w:ascii="Bookman Old Style" w:hAnsi="Bookman Old Style"/>
          <w:sz w:val="22"/>
          <w:szCs w:val="22"/>
        </w:rPr>
        <w:t>sezioni II e III, del codice della crisi d’impresa</w:t>
      </w:r>
      <w:r w:rsidR="00A6766D">
        <w:rPr>
          <w:rFonts w:ascii="Bookman Old Style" w:hAnsi="Bookman Old Style"/>
          <w:sz w:val="22"/>
          <w:szCs w:val="22"/>
        </w:rPr>
        <w:t xml:space="preserve"> </w:t>
      </w:r>
      <w:r w:rsidR="00A6766D" w:rsidRPr="00A6766D">
        <w:rPr>
          <w:rFonts w:ascii="Bookman Old Style" w:hAnsi="Bookman Old Style"/>
          <w:sz w:val="22"/>
          <w:szCs w:val="22"/>
        </w:rPr>
        <w:t>e dell’insolvenza, di cui al decreto</w:t>
      </w:r>
      <w:r w:rsidR="00A6766D">
        <w:rPr>
          <w:rFonts w:ascii="Bookman Old Style" w:hAnsi="Bookman Old Style"/>
          <w:sz w:val="22"/>
          <w:szCs w:val="22"/>
        </w:rPr>
        <w:t xml:space="preserve"> </w:t>
      </w:r>
      <w:r w:rsidR="00A6766D" w:rsidRPr="00A6766D">
        <w:rPr>
          <w:rFonts w:ascii="Bookman Old Style" w:hAnsi="Bookman Old Style"/>
          <w:sz w:val="22"/>
          <w:szCs w:val="22"/>
        </w:rPr>
        <w:t>legislativo 12 gennaio 2019, n. 14, con la</w:t>
      </w:r>
      <w:r w:rsidR="00A6766D">
        <w:rPr>
          <w:rFonts w:ascii="Bookman Old Style" w:hAnsi="Bookman Old Style"/>
          <w:sz w:val="22"/>
          <w:szCs w:val="22"/>
        </w:rPr>
        <w:t xml:space="preserve"> </w:t>
      </w:r>
      <w:r w:rsidR="00A6766D" w:rsidRPr="00A6766D">
        <w:rPr>
          <w:rFonts w:ascii="Bookman Old Style" w:hAnsi="Bookman Old Style"/>
          <w:sz w:val="22"/>
          <w:szCs w:val="22"/>
        </w:rPr>
        <w:t>possibilità di effettuare il pagamento del</w:t>
      </w:r>
      <w:r w:rsidR="00A6766D">
        <w:rPr>
          <w:rFonts w:ascii="Bookman Old Style" w:hAnsi="Bookman Old Style"/>
          <w:sz w:val="22"/>
          <w:szCs w:val="22"/>
        </w:rPr>
        <w:t xml:space="preserve"> </w:t>
      </w:r>
      <w:r w:rsidR="00A6766D" w:rsidRPr="00A6766D">
        <w:rPr>
          <w:rFonts w:ascii="Bookman Old Style" w:hAnsi="Bookman Old Style"/>
          <w:sz w:val="22"/>
          <w:szCs w:val="22"/>
        </w:rPr>
        <w:lastRenderedPageBreak/>
        <w:t>debito, anche falcidiato, con le modalità e</w:t>
      </w:r>
      <w:r w:rsidR="00A6766D">
        <w:rPr>
          <w:rFonts w:ascii="Bookman Old Style" w:hAnsi="Bookman Old Style"/>
          <w:sz w:val="22"/>
          <w:szCs w:val="22"/>
        </w:rPr>
        <w:t xml:space="preserve"> </w:t>
      </w:r>
      <w:r w:rsidR="00A6766D" w:rsidRPr="00A6766D">
        <w:rPr>
          <w:rFonts w:ascii="Bookman Old Style" w:hAnsi="Bookman Old Style"/>
          <w:sz w:val="22"/>
          <w:szCs w:val="22"/>
        </w:rPr>
        <w:t>nei tempi eventualmente previsti nel decreto</w:t>
      </w:r>
      <w:r w:rsidR="00A6766D">
        <w:rPr>
          <w:rFonts w:ascii="Bookman Old Style" w:hAnsi="Bookman Old Style"/>
          <w:sz w:val="22"/>
          <w:szCs w:val="22"/>
        </w:rPr>
        <w:t xml:space="preserve"> </w:t>
      </w:r>
      <w:r w:rsidR="00A6766D" w:rsidRPr="00A6766D">
        <w:rPr>
          <w:rFonts w:ascii="Bookman Old Style" w:hAnsi="Bookman Old Style"/>
          <w:sz w:val="22"/>
          <w:szCs w:val="22"/>
        </w:rPr>
        <w:t>di omologazione.</w:t>
      </w:r>
    </w:p>
    <w:p w14:paraId="290950CD" w14:textId="77777777" w:rsidR="00BE48C1" w:rsidRPr="00D23E66" w:rsidRDefault="00BE48C1">
      <w:pPr>
        <w:pStyle w:val="Rientrocorpodeltesto"/>
        <w:spacing w:after="120" w:line="288" w:lineRule="auto"/>
        <w:rPr>
          <w:rFonts w:ascii="Bookman Old Style" w:hAnsi="Bookman Old Style"/>
          <w:sz w:val="22"/>
          <w:szCs w:val="22"/>
        </w:rPr>
      </w:pPr>
    </w:p>
    <w:p w14:paraId="656D9173" w14:textId="77777777" w:rsidR="00DF6086" w:rsidRPr="00D23E66" w:rsidRDefault="00DF6086">
      <w:pPr>
        <w:pStyle w:val="Titolo3"/>
        <w:spacing w:after="120" w:line="288" w:lineRule="auto"/>
        <w:jc w:val="left"/>
        <w:rPr>
          <w:rFonts w:ascii="Bookman Old Style" w:hAnsi="Bookman Old Style"/>
          <w:i/>
          <w:sz w:val="22"/>
          <w:szCs w:val="22"/>
        </w:rPr>
      </w:pPr>
      <w:bookmarkStart w:id="7" w:name="_Toc218672103"/>
      <w:r w:rsidRPr="00D23E66">
        <w:rPr>
          <w:rFonts w:ascii="Bookman Old Style" w:hAnsi="Bookman Old Style"/>
          <w:sz w:val="22"/>
          <w:szCs w:val="22"/>
        </w:rPr>
        <w:t xml:space="preserve">Articolo </w:t>
      </w:r>
      <w:r w:rsidR="00BE48C1" w:rsidRPr="00D23E66">
        <w:rPr>
          <w:rFonts w:ascii="Bookman Old Style" w:hAnsi="Bookman Old Style"/>
          <w:sz w:val="22"/>
          <w:szCs w:val="22"/>
        </w:rPr>
        <w:t>7</w:t>
      </w:r>
      <w:r w:rsidRPr="00D23E66">
        <w:rPr>
          <w:rFonts w:ascii="Bookman Old Style" w:hAnsi="Bookman Old Style"/>
          <w:sz w:val="22"/>
          <w:szCs w:val="22"/>
        </w:rPr>
        <w:t xml:space="preserve"> – </w:t>
      </w:r>
      <w:r w:rsidRPr="00CC47B6">
        <w:rPr>
          <w:rFonts w:ascii="Bookman Old Style" w:hAnsi="Bookman Old Style"/>
          <w:iCs/>
          <w:sz w:val="22"/>
          <w:szCs w:val="22"/>
        </w:rPr>
        <w:t>Procedure cautela</w:t>
      </w:r>
      <w:r w:rsidR="00FA23D7" w:rsidRPr="00CC47B6">
        <w:rPr>
          <w:rFonts w:ascii="Bookman Old Style" w:hAnsi="Bookman Old Style"/>
          <w:iCs/>
          <w:sz w:val="22"/>
          <w:szCs w:val="22"/>
        </w:rPr>
        <w:t>ri</w:t>
      </w:r>
      <w:r w:rsidRPr="00CC47B6">
        <w:rPr>
          <w:rFonts w:ascii="Bookman Old Style" w:hAnsi="Bookman Old Style"/>
          <w:iCs/>
          <w:sz w:val="22"/>
          <w:szCs w:val="22"/>
        </w:rPr>
        <w:t xml:space="preserve"> ed esecutive in corso</w:t>
      </w:r>
      <w:bookmarkEnd w:id="7"/>
      <w:r w:rsidRPr="00D23E66">
        <w:rPr>
          <w:rFonts w:ascii="Bookman Old Style" w:hAnsi="Bookman Old Style"/>
          <w:i/>
          <w:sz w:val="22"/>
          <w:szCs w:val="22"/>
        </w:rPr>
        <w:t xml:space="preserve"> </w:t>
      </w:r>
    </w:p>
    <w:p w14:paraId="3771E5D5" w14:textId="531239D6" w:rsidR="00DF6086" w:rsidRPr="00D23E66" w:rsidRDefault="004C27A3">
      <w:pPr>
        <w:pStyle w:val="Rientrocorpodeltesto"/>
        <w:spacing w:after="120" w:line="288" w:lineRule="auto"/>
        <w:rPr>
          <w:rFonts w:ascii="Bookman Old Style" w:hAnsi="Bookman Old Style"/>
          <w:sz w:val="22"/>
          <w:szCs w:val="22"/>
        </w:rPr>
      </w:pPr>
      <w:r>
        <w:rPr>
          <w:rFonts w:ascii="Bookman Old Style" w:hAnsi="Bookman Old Style"/>
          <w:sz w:val="22"/>
          <w:szCs w:val="22"/>
        </w:rPr>
        <w:t>1</w:t>
      </w:r>
      <w:r w:rsidR="00DF6086" w:rsidRPr="00D23E66">
        <w:rPr>
          <w:rFonts w:ascii="Bookman Old Style" w:hAnsi="Bookman Old Style"/>
          <w:sz w:val="22"/>
          <w:szCs w:val="22"/>
        </w:rPr>
        <w:t>. Il Comune (</w:t>
      </w:r>
      <w:r w:rsidR="00DF6086" w:rsidRPr="00D23E66">
        <w:rPr>
          <w:rFonts w:ascii="Bookman Old Style" w:hAnsi="Bookman Old Style"/>
          <w:i/>
          <w:color w:val="FF0000"/>
          <w:sz w:val="22"/>
          <w:szCs w:val="22"/>
        </w:rPr>
        <w:t xml:space="preserve">o il </w:t>
      </w:r>
      <w:proofErr w:type="gramStart"/>
      <w:r w:rsidR="00DF6086" w:rsidRPr="00D23E66">
        <w:rPr>
          <w:rFonts w:ascii="Bookman Old Style" w:hAnsi="Bookman Old Style"/>
          <w:i/>
          <w:color w:val="FF0000"/>
          <w:sz w:val="22"/>
          <w:szCs w:val="22"/>
        </w:rPr>
        <w:t>concessionario….</w:t>
      </w:r>
      <w:proofErr w:type="gramEnd"/>
      <w:r w:rsidR="00DF6086" w:rsidRPr="00D23E66">
        <w:rPr>
          <w:rFonts w:ascii="Bookman Old Style" w:hAnsi="Bookman Old Style"/>
          <w:i/>
          <w:color w:val="FF0000"/>
          <w:sz w:val="22"/>
          <w:szCs w:val="22"/>
        </w:rPr>
        <w:t>. o la società in house</w:t>
      </w:r>
      <w:r w:rsidR="00DF6086" w:rsidRPr="00D23E66">
        <w:rPr>
          <w:rFonts w:ascii="Bookman Old Style" w:hAnsi="Bookman Old Style"/>
          <w:color w:val="FF0000"/>
          <w:sz w:val="22"/>
          <w:szCs w:val="22"/>
        </w:rPr>
        <w:t xml:space="preserve"> </w:t>
      </w:r>
      <w:r w:rsidR="00DF6086" w:rsidRPr="00D23E66">
        <w:rPr>
          <w:rFonts w:ascii="Bookman Old Style" w:hAnsi="Bookman Old Style"/>
          <w:sz w:val="22"/>
          <w:szCs w:val="22"/>
        </w:rPr>
        <w:t>) relativamente ai debiti definibili</w:t>
      </w:r>
      <w:r w:rsidR="00640694">
        <w:rPr>
          <w:rFonts w:ascii="Bookman Old Style" w:hAnsi="Bookman Old Style"/>
          <w:sz w:val="22"/>
          <w:szCs w:val="22"/>
        </w:rPr>
        <w:t>, dopo la presentazione della domanda di cui all’art. 3,</w:t>
      </w:r>
      <w:r w:rsidR="00DF6086" w:rsidRPr="00D23E66">
        <w:rPr>
          <w:rFonts w:ascii="Bookman Old Style" w:hAnsi="Bookman Old Style"/>
          <w:sz w:val="22"/>
          <w:szCs w:val="22"/>
        </w:rPr>
        <w:t xml:space="preserve"> </w:t>
      </w:r>
      <w:r w:rsidR="00640694">
        <w:rPr>
          <w:rFonts w:ascii="Bookman Old Style" w:hAnsi="Bookman Old Style"/>
          <w:sz w:val="22"/>
          <w:szCs w:val="22"/>
        </w:rPr>
        <w:t xml:space="preserve">comma 1, </w:t>
      </w:r>
      <w:r w:rsidR="00DF6086" w:rsidRPr="00D23E66">
        <w:rPr>
          <w:rFonts w:ascii="Bookman Old Style" w:hAnsi="Bookman Old Style"/>
          <w:sz w:val="22"/>
          <w:szCs w:val="22"/>
        </w:rPr>
        <w:t xml:space="preserve">non può avviare nuove azioni esecutive ovvero iscrivere nuovi fermi amministrativi e ipoteche, fatti salvi i fermi amministrativi e le ipoteche già iscritti alla data di presentazione della dichiarazione </w:t>
      </w:r>
      <w:r w:rsidR="007034EA">
        <w:rPr>
          <w:rFonts w:ascii="Bookman Old Style" w:hAnsi="Bookman Old Style"/>
          <w:sz w:val="22"/>
          <w:szCs w:val="22"/>
        </w:rPr>
        <w:t>suddetta</w:t>
      </w:r>
      <w:r w:rsidR="00DF6086" w:rsidRPr="00D23E66">
        <w:rPr>
          <w:rFonts w:ascii="Bookman Old Style" w:hAnsi="Bookman Old Style"/>
          <w:sz w:val="22"/>
          <w:szCs w:val="22"/>
        </w:rPr>
        <w:t>, e non può altresì proseguire le procedure di recupero coattivo precedentemente avviate, a condizione che non si sia ancora tenuto il primo incanto con esito positivo.</w:t>
      </w:r>
    </w:p>
    <w:p w14:paraId="278AFC4A" w14:textId="77777777" w:rsidR="0034257F" w:rsidRPr="00D23E66" w:rsidRDefault="0034257F">
      <w:pPr>
        <w:pStyle w:val="Rientrocorpodeltesto"/>
        <w:spacing w:after="120" w:line="288" w:lineRule="auto"/>
        <w:rPr>
          <w:rFonts w:ascii="Bookman Old Style" w:hAnsi="Bookman Old Style"/>
          <w:sz w:val="22"/>
          <w:szCs w:val="22"/>
        </w:rPr>
      </w:pPr>
    </w:p>
    <w:p w14:paraId="19FD698B" w14:textId="77777777" w:rsidR="0034257F" w:rsidRPr="00D23E66" w:rsidRDefault="0034257F">
      <w:pPr>
        <w:pStyle w:val="Titolo3"/>
        <w:spacing w:after="120" w:line="288" w:lineRule="auto"/>
        <w:jc w:val="left"/>
        <w:rPr>
          <w:rFonts w:ascii="Bookman Old Style" w:hAnsi="Bookman Old Style"/>
          <w:i/>
          <w:sz w:val="22"/>
          <w:szCs w:val="22"/>
        </w:rPr>
      </w:pPr>
      <w:bookmarkStart w:id="8" w:name="_Toc218672104"/>
      <w:r w:rsidRPr="00512B2D">
        <w:rPr>
          <w:rFonts w:ascii="Bookman Old Style" w:hAnsi="Bookman Old Style"/>
          <w:sz w:val="22"/>
          <w:szCs w:val="22"/>
        </w:rPr>
        <w:t xml:space="preserve">Articolo 8 – </w:t>
      </w:r>
      <w:r w:rsidR="004C55BD" w:rsidRPr="00512B2D">
        <w:rPr>
          <w:rFonts w:ascii="Bookman Old Style" w:hAnsi="Bookman Old Style"/>
          <w:sz w:val="22"/>
          <w:szCs w:val="22"/>
        </w:rPr>
        <w:t xml:space="preserve">Rinuncia </w:t>
      </w:r>
      <w:r w:rsidR="00DB11B9" w:rsidRPr="00512B2D">
        <w:rPr>
          <w:rFonts w:ascii="Bookman Old Style" w:hAnsi="Bookman Old Style"/>
          <w:sz w:val="22"/>
          <w:szCs w:val="22"/>
        </w:rPr>
        <w:t xml:space="preserve">al </w:t>
      </w:r>
      <w:r w:rsidR="00DB11B9" w:rsidRPr="00557FC3">
        <w:rPr>
          <w:rFonts w:ascii="Bookman Old Style" w:hAnsi="Bookman Old Style"/>
          <w:iCs/>
          <w:sz w:val="22"/>
          <w:szCs w:val="22"/>
        </w:rPr>
        <w:t xml:space="preserve">contenzioso </w:t>
      </w:r>
      <w:r w:rsidRPr="00557FC3">
        <w:rPr>
          <w:rFonts w:ascii="Bookman Old Style" w:hAnsi="Bookman Old Style"/>
          <w:iCs/>
          <w:sz w:val="22"/>
          <w:szCs w:val="22"/>
        </w:rPr>
        <w:t>pendente</w:t>
      </w:r>
      <w:bookmarkEnd w:id="8"/>
      <w:r w:rsidRPr="00D23E66">
        <w:rPr>
          <w:rFonts w:ascii="Bookman Old Style" w:hAnsi="Bookman Old Style"/>
          <w:i/>
          <w:sz w:val="22"/>
          <w:szCs w:val="22"/>
        </w:rPr>
        <w:t xml:space="preserve"> </w:t>
      </w:r>
    </w:p>
    <w:p w14:paraId="29C6B7FD" w14:textId="779C648E" w:rsidR="00E16CF1" w:rsidRDefault="0034257F" w:rsidP="00E16CF1">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Nella dichiarazione di cui all’articolo 3, comma 1, il debitore indica </w:t>
      </w:r>
      <w:r w:rsidR="00BA680C">
        <w:rPr>
          <w:rFonts w:ascii="Bookman Old Style" w:hAnsi="Bookman Old Style"/>
          <w:sz w:val="22"/>
          <w:szCs w:val="22"/>
        </w:rPr>
        <w:t xml:space="preserve">in modo esaustivo </w:t>
      </w:r>
      <w:r w:rsidRPr="00D23E66">
        <w:rPr>
          <w:rFonts w:ascii="Bookman Old Style" w:hAnsi="Bookman Old Style"/>
          <w:sz w:val="22"/>
          <w:szCs w:val="22"/>
        </w:rPr>
        <w:t>l'eventuale pendenza di giudizi aventi ad oggetto i carichi in essa ricompresi e assume l'impegno a rinunciare agli stessi giudizi</w:t>
      </w:r>
      <w:r w:rsidR="00557FC3">
        <w:rPr>
          <w:rFonts w:ascii="Bookman Old Style" w:hAnsi="Bookman Old Style"/>
          <w:sz w:val="22"/>
          <w:szCs w:val="22"/>
        </w:rPr>
        <w:t>. Il debitore deposita</w:t>
      </w:r>
      <w:r w:rsidR="00BD36FD">
        <w:rPr>
          <w:rFonts w:ascii="Bookman Old Style" w:hAnsi="Bookman Old Style"/>
          <w:sz w:val="22"/>
          <w:szCs w:val="22"/>
        </w:rPr>
        <w:t xml:space="preserve"> </w:t>
      </w:r>
      <w:r w:rsidR="00557FC3">
        <w:rPr>
          <w:rFonts w:ascii="Bookman Old Style" w:hAnsi="Bookman Old Style"/>
          <w:sz w:val="22"/>
          <w:szCs w:val="22"/>
        </w:rPr>
        <w:t>istanza di rinuncia al contenzioso</w:t>
      </w:r>
      <w:r w:rsidR="00BD36FD">
        <w:rPr>
          <w:rFonts w:ascii="Bookman Old Style" w:hAnsi="Bookman Old Style"/>
          <w:sz w:val="22"/>
          <w:szCs w:val="22"/>
        </w:rPr>
        <w:t xml:space="preserve"> ai sensi dell’articolo 42 del decreto legislativo 31 dicembre 1992, n. 546, e dal 1° gennaio 2027 ai sensi dell’articolo</w:t>
      </w:r>
      <w:r w:rsidR="00695417" w:rsidRPr="00695417">
        <w:rPr>
          <w:rFonts w:ascii="Bookman Old Style" w:hAnsi="Bookman Old Style"/>
          <w:sz w:val="22"/>
          <w:szCs w:val="22"/>
        </w:rPr>
        <w:t xml:space="preserve"> 93</w:t>
      </w:r>
      <w:r w:rsidR="00695417">
        <w:rPr>
          <w:rFonts w:ascii="Bookman Old Style" w:hAnsi="Bookman Old Style"/>
          <w:sz w:val="22"/>
          <w:szCs w:val="22"/>
        </w:rPr>
        <w:t xml:space="preserve"> del decreto legislativo </w:t>
      </w:r>
      <w:r w:rsidR="00B961E5">
        <w:rPr>
          <w:rFonts w:ascii="Bookman Old Style" w:hAnsi="Bookman Old Style"/>
          <w:sz w:val="22"/>
          <w:szCs w:val="22"/>
        </w:rPr>
        <w:t>14 novembre 2024, n. 175</w:t>
      </w:r>
      <w:r w:rsidR="00E16CF1">
        <w:rPr>
          <w:rFonts w:ascii="Bookman Old Style" w:hAnsi="Bookman Old Style"/>
          <w:sz w:val="22"/>
          <w:szCs w:val="22"/>
        </w:rPr>
        <w:t xml:space="preserve">, </w:t>
      </w:r>
      <w:r w:rsidR="00557FC3">
        <w:rPr>
          <w:rFonts w:ascii="Bookman Old Style" w:hAnsi="Bookman Old Style"/>
          <w:sz w:val="22"/>
          <w:szCs w:val="22"/>
        </w:rPr>
        <w:t>nei trenta giorni successivi alla scadenza del pagamento della prima o unica rata</w:t>
      </w:r>
      <w:r w:rsidR="00444103">
        <w:rPr>
          <w:rFonts w:ascii="Bookman Old Style" w:hAnsi="Bookman Old Style"/>
          <w:sz w:val="22"/>
          <w:szCs w:val="22"/>
        </w:rPr>
        <w:t xml:space="preserve">, allegando </w:t>
      </w:r>
      <w:r w:rsidR="00AF3891">
        <w:rPr>
          <w:rFonts w:ascii="Bookman Old Style" w:hAnsi="Bookman Old Style"/>
          <w:sz w:val="22"/>
          <w:szCs w:val="22"/>
        </w:rPr>
        <w:t xml:space="preserve">la relativa quietanza di pagamento. </w:t>
      </w:r>
      <w:r w:rsidR="00E16CF1">
        <w:rPr>
          <w:rFonts w:ascii="Bookman Old Style" w:hAnsi="Bookman Old Style"/>
          <w:sz w:val="22"/>
          <w:szCs w:val="22"/>
        </w:rPr>
        <w:t>La dichiarazione di volersi avvalere del beneficio della definizione agevolata, allegata all’istanza di rinuncia al ricorso, produce l’effetto di accettazione da parte del Comune della rinuncia al ricorso ed accordo tra le parti per la compensazione delle spese di lite.</w:t>
      </w:r>
      <w:r w:rsidR="00BA680C">
        <w:rPr>
          <w:rFonts w:ascii="Bookman Old Style" w:hAnsi="Bookman Old Style"/>
          <w:sz w:val="22"/>
          <w:szCs w:val="22"/>
        </w:rPr>
        <w:t xml:space="preserve"> La mancata indicazione di giudizi in essere comporta l’inefficacia della definizione agevolata con riferimento ai carichi coinvolti. </w:t>
      </w:r>
      <w:r w:rsidR="00444103">
        <w:rPr>
          <w:rFonts w:ascii="Bookman Old Style" w:hAnsi="Bookman Old Style"/>
          <w:sz w:val="22"/>
          <w:szCs w:val="22"/>
        </w:rPr>
        <w:t xml:space="preserve"> Nell’ipotesi in cui l’impugnazione sia stata proposta dal Comune, con la presentazione della suddetta dichiarazione il debitore si impegna ad accettare, con compensazione delle spese di lite, l’atto di rinuncia che sarà depositato dal Comune medesimo</w:t>
      </w:r>
      <w:r w:rsidR="00444103">
        <w:rPr>
          <w:rStyle w:val="Rimandonotaapidipagina"/>
          <w:rFonts w:ascii="Bookman Old Style" w:hAnsi="Bookman Old Style"/>
          <w:sz w:val="22"/>
          <w:szCs w:val="22"/>
        </w:rPr>
        <w:footnoteReference w:id="9"/>
      </w:r>
      <w:r w:rsidR="00AF3891">
        <w:rPr>
          <w:rFonts w:ascii="Bookman Old Style" w:hAnsi="Bookman Old Style"/>
          <w:sz w:val="22"/>
          <w:szCs w:val="22"/>
        </w:rPr>
        <w:t>, allegando la quietanza di pagamento della prima o unica rata.</w:t>
      </w:r>
    </w:p>
    <w:p w14:paraId="0DBBFF4F" w14:textId="77777777" w:rsidR="00E16CF1" w:rsidRPr="00D23E66" w:rsidRDefault="00E16CF1" w:rsidP="00E16CF1">
      <w:pPr>
        <w:pStyle w:val="Rientrocorpodeltesto"/>
        <w:spacing w:after="120" w:line="288" w:lineRule="auto"/>
        <w:rPr>
          <w:rFonts w:ascii="Bookman Old Style" w:hAnsi="Bookman Old Style"/>
          <w:sz w:val="22"/>
          <w:szCs w:val="22"/>
        </w:rPr>
      </w:pPr>
      <w:r>
        <w:rPr>
          <w:rFonts w:ascii="Bookman Old Style" w:hAnsi="Bookman Old Style"/>
          <w:sz w:val="22"/>
          <w:szCs w:val="22"/>
        </w:rPr>
        <w:t xml:space="preserve">2. </w:t>
      </w:r>
      <w:r w:rsidR="00557FC3">
        <w:rPr>
          <w:rFonts w:ascii="Bookman Old Style" w:hAnsi="Bookman Old Style"/>
          <w:sz w:val="22"/>
          <w:szCs w:val="22"/>
        </w:rPr>
        <w:t xml:space="preserve">Il mancato deposito </w:t>
      </w:r>
      <w:r>
        <w:rPr>
          <w:rFonts w:ascii="Bookman Old Style" w:hAnsi="Bookman Old Style"/>
          <w:sz w:val="22"/>
          <w:szCs w:val="22"/>
        </w:rPr>
        <w:t xml:space="preserve">dell’istanza di rinuncia al ricorso </w:t>
      </w:r>
      <w:r w:rsidR="00AF3891">
        <w:rPr>
          <w:rFonts w:ascii="Bookman Old Style" w:hAnsi="Bookman Old Style"/>
          <w:sz w:val="22"/>
          <w:szCs w:val="22"/>
        </w:rPr>
        <w:t xml:space="preserve">da parte del debitore, o la mancata accettazione della rinuncia dell’ente impositore, </w:t>
      </w:r>
      <w:r>
        <w:rPr>
          <w:rFonts w:ascii="Bookman Old Style" w:hAnsi="Bookman Old Style"/>
          <w:sz w:val="22"/>
          <w:szCs w:val="22"/>
        </w:rPr>
        <w:t xml:space="preserve">determina l’inefficacia della definizione agevolata </w:t>
      </w:r>
      <w:r w:rsidR="00BA680C">
        <w:rPr>
          <w:rFonts w:ascii="Bookman Old Style" w:hAnsi="Bookman Old Style"/>
          <w:sz w:val="22"/>
          <w:szCs w:val="22"/>
        </w:rPr>
        <w:t xml:space="preserve">con riferimento ai debiti di cui al contenzioso in questione </w:t>
      </w:r>
      <w:r>
        <w:rPr>
          <w:rFonts w:ascii="Bookman Old Style" w:hAnsi="Bookman Old Style"/>
          <w:sz w:val="22"/>
          <w:szCs w:val="22"/>
        </w:rPr>
        <w:t xml:space="preserve">ed i </w:t>
      </w:r>
      <w:r w:rsidRPr="00D23E66">
        <w:rPr>
          <w:rFonts w:ascii="Bookman Old Style" w:hAnsi="Bookman Old Style"/>
          <w:sz w:val="22"/>
          <w:szCs w:val="22"/>
        </w:rPr>
        <w:t>versamenti effettuati sono acquisiti a titolo di acconto dell'importo complessivamente dovuto.</w:t>
      </w:r>
    </w:p>
    <w:p w14:paraId="003E3246" w14:textId="77777777" w:rsidR="00DF6086" w:rsidRPr="00D23E66" w:rsidRDefault="00DF6086">
      <w:pPr>
        <w:pStyle w:val="Rientrocorpodeltesto"/>
        <w:spacing w:after="120" w:line="288" w:lineRule="auto"/>
        <w:rPr>
          <w:rFonts w:ascii="Bookman Old Style" w:hAnsi="Bookman Old Style"/>
          <w:sz w:val="22"/>
          <w:szCs w:val="22"/>
        </w:rPr>
      </w:pPr>
    </w:p>
    <w:p w14:paraId="6D1B6039" w14:textId="77777777" w:rsidR="009670F0" w:rsidRPr="00CC47B6" w:rsidRDefault="009670F0">
      <w:pPr>
        <w:pStyle w:val="Titolo3"/>
        <w:spacing w:after="80" w:line="288" w:lineRule="auto"/>
        <w:jc w:val="left"/>
        <w:rPr>
          <w:rFonts w:ascii="Bookman Old Style" w:hAnsi="Bookman Old Style"/>
          <w:iCs/>
          <w:sz w:val="22"/>
          <w:szCs w:val="22"/>
        </w:rPr>
      </w:pPr>
      <w:bookmarkStart w:id="9" w:name="_Toc128489470"/>
      <w:bookmarkStart w:id="10" w:name="_Toc218672105"/>
      <w:r w:rsidRPr="00D23E66">
        <w:rPr>
          <w:rFonts w:ascii="Bookman Old Style" w:hAnsi="Bookman Old Style"/>
          <w:sz w:val="22"/>
          <w:szCs w:val="22"/>
        </w:rPr>
        <w:t xml:space="preserve">Articolo 9 – </w:t>
      </w:r>
      <w:r w:rsidRPr="00CC47B6">
        <w:rPr>
          <w:rFonts w:ascii="Bookman Old Style" w:hAnsi="Bookman Old Style"/>
          <w:iCs/>
          <w:sz w:val="22"/>
          <w:szCs w:val="22"/>
        </w:rPr>
        <w:t>Entrata in vigore</w:t>
      </w:r>
      <w:bookmarkEnd w:id="9"/>
      <w:bookmarkEnd w:id="10"/>
    </w:p>
    <w:p w14:paraId="4E475EC6" w14:textId="77777777" w:rsidR="00B469F7" w:rsidRDefault="009670F0">
      <w:pPr>
        <w:pStyle w:val="testo"/>
        <w:spacing w:after="80" w:line="288" w:lineRule="auto"/>
        <w:rPr>
          <w:rFonts w:ascii="Bookman Old Style" w:hAnsi="Bookman Old Style"/>
          <w:spacing w:val="4"/>
          <w:sz w:val="22"/>
          <w:szCs w:val="22"/>
        </w:rPr>
      </w:pPr>
      <w:r w:rsidRPr="00D23E66">
        <w:rPr>
          <w:rFonts w:ascii="Bookman Old Style" w:hAnsi="Bookman Old Style"/>
          <w:spacing w:val="4"/>
          <w:sz w:val="22"/>
          <w:szCs w:val="22"/>
        </w:rPr>
        <w:t>1. Il presente regolamento entra in vigore lo stesso giorno della sua approvazione</w:t>
      </w:r>
      <w:r w:rsidRPr="00D23E66">
        <w:rPr>
          <w:rStyle w:val="Rimandonotaapidipagina"/>
          <w:rFonts w:ascii="Bookman Old Style" w:hAnsi="Bookman Old Style"/>
          <w:spacing w:val="4"/>
          <w:sz w:val="22"/>
          <w:szCs w:val="22"/>
        </w:rPr>
        <w:footnoteReference w:id="10"/>
      </w:r>
      <w:r w:rsidRPr="00D23E66">
        <w:rPr>
          <w:rFonts w:ascii="Bookman Old Style" w:hAnsi="Bookman Old Style"/>
          <w:spacing w:val="4"/>
          <w:sz w:val="22"/>
          <w:szCs w:val="22"/>
        </w:rPr>
        <w:t>.</w:t>
      </w:r>
    </w:p>
    <w:p w14:paraId="5AB0D3F9" w14:textId="77777777" w:rsidR="00901BE4" w:rsidRDefault="00901BE4">
      <w:pPr>
        <w:pStyle w:val="testo"/>
        <w:spacing w:after="80" w:line="288" w:lineRule="auto"/>
        <w:rPr>
          <w:rFonts w:ascii="Bookman Old Style" w:hAnsi="Bookman Old Style"/>
          <w:spacing w:val="4"/>
          <w:sz w:val="22"/>
          <w:szCs w:val="22"/>
        </w:rPr>
      </w:pPr>
    </w:p>
    <w:p w14:paraId="3DA34CAF" w14:textId="2EB423AE" w:rsidR="009E69A7" w:rsidRDefault="009E69A7">
      <w:pPr>
        <w:rPr>
          <w:rFonts w:ascii="Bookman Old Style" w:eastAsia="Times New Roman" w:hAnsi="Bookman Old Style"/>
          <w:spacing w:val="4"/>
        </w:rPr>
      </w:pPr>
      <w:r>
        <w:rPr>
          <w:rFonts w:ascii="Bookman Old Style" w:hAnsi="Bookman Old Style"/>
          <w:spacing w:val="4"/>
        </w:rPr>
        <w:br w:type="page"/>
      </w:r>
    </w:p>
    <w:p w14:paraId="39068347" w14:textId="77777777" w:rsidR="00732E3C" w:rsidRDefault="00732E3C" w:rsidP="00732E3C">
      <w:pPr>
        <w:pStyle w:val="Titolo3"/>
        <w:spacing w:after="120" w:line="288" w:lineRule="auto"/>
        <w:rPr>
          <w:rFonts w:ascii="Bookman Old Style" w:hAnsi="Bookman Old Style"/>
        </w:rPr>
      </w:pPr>
      <w:bookmarkStart w:id="11" w:name="_Toc218672106"/>
      <w:r>
        <w:rPr>
          <w:rFonts w:ascii="Bookman Old Style" w:hAnsi="Bookman Old Style"/>
        </w:rPr>
        <w:lastRenderedPageBreak/>
        <w:t xml:space="preserve">PARTE II- </w:t>
      </w:r>
      <w:r w:rsidR="00AA78AC">
        <w:rPr>
          <w:rFonts w:ascii="Bookman Old Style" w:hAnsi="Bookman Old Style"/>
        </w:rPr>
        <w:t>DEFINIZIONE AGEVOLATA DELLE LITI PENDENTI</w:t>
      </w:r>
      <w:bookmarkEnd w:id="11"/>
    </w:p>
    <w:p w14:paraId="49E71216" w14:textId="77777777" w:rsidR="00732E3C" w:rsidRPr="006A7674" w:rsidRDefault="00732E3C" w:rsidP="00732E3C">
      <w:pPr>
        <w:spacing w:after="80" w:line="288" w:lineRule="auto"/>
        <w:rPr>
          <w:rFonts w:ascii="Bookman Old Style" w:hAnsi="Bookman Old Style"/>
        </w:rPr>
      </w:pPr>
    </w:p>
    <w:p w14:paraId="40ADA0EC" w14:textId="77777777" w:rsidR="00325239" w:rsidRPr="00CC47B6" w:rsidRDefault="00325239" w:rsidP="00325239">
      <w:pPr>
        <w:pStyle w:val="Titolo3"/>
        <w:spacing w:after="120" w:line="288" w:lineRule="auto"/>
        <w:jc w:val="both"/>
        <w:rPr>
          <w:rFonts w:ascii="Bookman Old Style" w:hAnsi="Bookman Old Style"/>
          <w:iCs/>
          <w:sz w:val="22"/>
          <w:szCs w:val="22"/>
        </w:rPr>
      </w:pPr>
      <w:bookmarkStart w:id="12" w:name="_Toc218672107"/>
      <w:r w:rsidRPr="00D23E66">
        <w:rPr>
          <w:rFonts w:ascii="Bookman Old Style" w:hAnsi="Bookman Old Style"/>
          <w:sz w:val="22"/>
          <w:szCs w:val="22"/>
        </w:rPr>
        <w:t xml:space="preserve">Articolo 1 - </w:t>
      </w:r>
      <w:r w:rsidRPr="00CC47B6">
        <w:rPr>
          <w:rFonts w:ascii="Bookman Old Style" w:hAnsi="Bookman Old Style"/>
          <w:iCs/>
          <w:sz w:val="22"/>
          <w:szCs w:val="22"/>
        </w:rPr>
        <w:t>Oggetto del Regolamento</w:t>
      </w:r>
      <w:bookmarkEnd w:id="12"/>
      <w:r w:rsidRPr="00CC47B6">
        <w:rPr>
          <w:rFonts w:ascii="Bookman Old Style" w:hAnsi="Bookman Old Style"/>
          <w:iCs/>
          <w:sz w:val="22"/>
          <w:szCs w:val="22"/>
        </w:rPr>
        <w:t xml:space="preserve"> </w:t>
      </w:r>
    </w:p>
    <w:p w14:paraId="600349C9" w14:textId="77777777" w:rsidR="00325239" w:rsidRDefault="00325239" w:rsidP="00325239">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Il presente regolamento adottato nell'ambito della potestà prevista dall’articolo 52 del decreto legislativo 15 dicembre 1997, n. 446 ed in attuazione dell’articolo </w:t>
      </w:r>
      <w:r>
        <w:rPr>
          <w:rFonts w:ascii="Bookman Old Style" w:hAnsi="Bookman Old Style"/>
          <w:sz w:val="22"/>
          <w:szCs w:val="22"/>
        </w:rPr>
        <w:t>1, commi da 102 a 110 della legge 30 dicembre 2025, n. 199</w:t>
      </w:r>
      <w:r w:rsidRPr="00D23E66">
        <w:rPr>
          <w:rFonts w:ascii="Bookman Old Style" w:hAnsi="Bookman Old Style"/>
          <w:sz w:val="22"/>
          <w:szCs w:val="22"/>
        </w:rPr>
        <w:t xml:space="preserve">, disciplina la definizione agevolata delle </w:t>
      </w:r>
      <w:r>
        <w:rPr>
          <w:rFonts w:ascii="Bookman Old Style" w:hAnsi="Bookman Old Style"/>
          <w:sz w:val="22"/>
          <w:szCs w:val="22"/>
        </w:rPr>
        <w:t>controversie tributarie pendenti al 1° gennaio 2026</w:t>
      </w:r>
      <w:r w:rsidR="0015266E">
        <w:rPr>
          <w:rStyle w:val="Rimandonotaapidipagina"/>
          <w:rFonts w:ascii="Bookman Old Style" w:hAnsi="Bookman Old Style"/>
          <w:sz w:val="22"/>
          <w:szCs w:val="22"/>
        </w:rPr>
        <w:footnoteReference w:id="11"/>
      </w:r>
      <w:r>
        <w:rPr>
          <w:rFonts w:ascii="Bookman Old Style" w:hAnsi="Bookman Old Style"/>
          <w:sz w:val="22"/>
          <w:szCs w:val="22"/>
        </w:rPr>
        <w:t>.</w:t>
      </w:r>
    </w:p>
    <w:p w14:paraId="79328BDE" w14:textId="77777777" w:rsidR="00732E3C" w:rsidRPr="006A7674" w:rsidRDefault="00732E3C" w:rsidP="00732E3C">
      <w:pPr>
        <w:pStyle w:val="Rientrocorpodeltesto"/>
        <w:spacing w:after="80" w:line="288" w:lineRule="auto"/>
        <w:rPr>
          <w:rFonts w:ascii="Bookman Old Style" w:hAnsi="Bookman Old Style"/>
          <w:sz w:val="22"/>
          <w:szCs w:val="22"/>
        </w:rPr>
      </w:pPr>
    </w:p>
    <w:p w14:paraId="232CBA69"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13" w:name="_Toc128489456"/>
      <w:bookmarkStart w:id="14" w:name="_Toc218672108"/>
      <w:r w:rsidRPr="006A7674">
        <w:rPr>
          <w:rFonts w:ascii="Bookman Old Style" w:hAnsi="Bookman Old Style"/>
          <w:sz w:val="22"/>
          <w:szCs w:val="22"/>
        </w:rPr>
        <w:t>Articolo 2 – Oggetto della definizione agevolata</w:t>
      </w:r>
      <w:bookmarkEnd w:id="13"/>
      <w:bookmarkEnd w:id="14"/>
      <w:r w:rsidRPr="006A7674">
        <w:rPr>
          <w:rFonts w:ascii="Bookman Old Style" w:hAnsi="Bookman Old Style"/>
          <w:sz w:val="22"/>
          <w:szCs w:val="22"/>
        </w:rPr>
        <w:t xml:space="preserve"> </w:t>
      </w:r>
    </w:p>
    <w:p w14:paraId="05F8243E"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1. Oggetto della definizione agevolata sono le controversie tributarie pendenti, in ogni stato e grado del giudizio, compreso quello in cassazione ed anche a seguito di rinvio, il cui ricorso introduttivo sia stato notificato al Comune impositore</w:t>
      </w:r>
      <w:r w:rsidRPr="006A7674">
        <w:rPr>
          <w:rStyle w:val="Rimandonotaapidipagina"/>
          <w:rFonts w:ascii="Bookman Old Style" w:hAnsi="Bookman Old Style"/>
          <w:sz w:val="22"/>
          <w:szCs w:val="22"/>
        </w:rPr>
        <w:footnoteReference w:id="12"/>
      </w:r>
      <w:r w:rsidRPr="006A7674">
        <w:rPr>
          <w:rFonts w:ascii="Bookman Old Style" w:hAnsi="Bookman Old Style"/>
          <w:sz w:val="22"/>
          <w:szCs w:val="22"/>
        </w:rPr>
        <w:t xml:space="preserve"> entro la data del 1° gennaio 202</w:t>
      </w:r>
      <w:r w:rsidR="00544D86">
        <w:rPr>
          <w:rFonts w:ascii="Bookman Old Style" w:hAnsi="Bookman Old Style"/>
          <w:sz w:val="22"/>
          <w:szCs w:val="22"/>
        </w:rPr>
        <w:t>6</w:t>
      </w:r>
      <w:r w:rsidRPr="006A7674">
        <w:rPr>
          <w:rFonts w:ascii="Bookman Old Style" w:hAnsi="Bookman Old Style"/>
          <w:sz w:val="22"/>
          <w:szCs w:val="22"/>
        </w:rPr>
        <w:t>. Per Comune impositore si intende:</w:t>
      </w:r>
    </w:p>
    <w:p w14:paraId="1B9306B0" w14:textId="0F7DC69B"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ab/>
        <w:t xml:space="preserve">a) il Comune di </w:t>
      </w:r>
      <w:proofErr w:type="gramStart"/>
      <w:r w:rsidRPr="006A7674">
        <w:rPr>
          <w:rFonts w:ascii="Bookman Old Style" w:hAnsi="Bookman Old Style"/>
          <w:sz w:val="22"/>
          <w:szCs w:val="22"/>
        </w:rPr>
        <w:t>…….</w:t>
      </w:r>
      <w:proofErr w:type="gramEnd"/>
      <w:r w:rsidRPr="006A7674">
        <w:rPr>
          <w:rFonts w:ascii="Bookman Old Style" w:hAnsi="Bookman Old Style"/>
          <w:sz w:val="22"/>
          <w:szCs w:val="22"/>
        </w:rPr>
        <w:t>., per quanto attiene l’ICI, l’IMU, TARES, TARI, TASI</w:t>
      </w:r>
      <w:r w:rsidR="009E69A7">
        <w:rPr>
          <w:rFonts w:ascii="Bookman Old Style" w:hAnsi="Bookman Old Style"/>
          <w:sz w:val="22"/>
          <w:szCs w:val="22"/>
        </w:rPr>
        <w:t xml:space="preserve"> </w:t>
      </w:r>
      <w:r w:rsidR="009E69A7" w:rsidRPr="00CC2DA2">
        <w:rPr>
          <w:rFonts w:ascii="Bookman Old Style" w:hAnsi="Bookman Old Style"/>
          <w:i/>
          <w:iCs/>
          <w:sz w:val="22"/>
          <w:szCs w:val="22"/>
        </w:rPr>
        <w:t>(e /o altre entrate tributarie o patrimoniali</w:t>
      </w:r>
      <w:proofErr w:type="gramStart"/>
      <w:r w:rsidR="009E69A7" w:rsidRPr="00CC2DA2">
        <w:rPr>
          <w:rFonts w:ascii="Bookman Old Style" w:hAnsi="Bookman Old Style"/>
          <w:i/>
          <w:iCs/>
          <w:sz w:val="22"/>
          <w:szCs w:val="22"/>
        </w:rPr>
        <w:t>)</w:t>
      </w:r>
      <w:r w:rsidRPr="006A7674">
        <w:rPr>
          <w:rFonts w:ascii="Bookman Old Style" w:hAnsi="Bookman Old Style"/>
          <w:sz w:val="22"/>
          <w:szCs w:val="22"/>
        </w:rPr>
        <w:t>….</w:t>
      </w:r>
      <w:proofErr w:type="gramEnd"/>
      <w:r w:rsidRPr="006A7674">
        <w:rPr>
          <w:rFonts w:ascii="Bookman Old Style" w:hAnsi="Bookman Old Style"/>
          <w:sz w:val="22"/>
          <w:szCs w:val="22"/>
        </w:rPr>
        <w:t>.</w:t>
      </w:r>
    </w:p>
    <w:p w14:paraId="72744F33"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ab/>
        <w:t>b) il Gestore Alfa, per quanto attiene la TARES e la TARI;</w:t>
      </w:r>
    </w:p>
    <w:p w14:paraId="730F3962"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ab/>
        <w:t>c) il Concessionario Beta, per quanto attiene ………</w:t>
      </w:r>
      <w:proofErr w:type="gramStart"/>
      <w:r w:rsidRPr="006A7674">
        <w:rPr>
          <w:rFonts w:ascii="Bookman Old Style" w:hAnsi="Bookman Old Style"/>
          <w:sz w:val="22"/>
          <w:szCs w:val="22"/>
        </w:rPr>
        <w:t>…….</w:t>
      </w:r>
      <w:proofErr w:type="gramEnd"/>
      <w:r w:rsidRPr="006A7674">
        <w:rPr>
          <w:rFonts w:ascii="Bookman Old Style" w:hAnsi="Bookman Old Style"/>
          <w:sz w:val="22"/>
          <w:szCs w:val="22"/>
        </w:rPr>
        <w:t>;</w:t>
      </w:r>
      <w:r w:rsidRPr="006A7674">
        <w:rPr>
          <w:rStyle w:val="Rimandonotaapidipagina"/>
          <w:rFonts w:ascii="Bookman Old Style" w:hAnsi="Bookman Old Style"/>
          <w:sz w:val="22"/>
          <w:szCs w:val="22"/>
        </w:rPr>
        <w:footnoteReference w:id="13"/>
      </w:r>
    </w:p>
    <w:p w14:paraId="2A194722"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ab/>
        <w:t xml:space="preserve">d) la Società in </w:t>
      </w:r>
      <w:r w:rsidRPr="006A7674">
        <w:rPr>
          <w:rFonts w:ascii="Bookman Old Style" w:hAnsi="Bookman Old Style"/>
          <w:i/>
          <w:iCs/>
          <w:sz w:val="22"/>
          <w:szCs w:val="22"/>
        </w:rPr>
        <w:t>house</w:t>
      </w:r>
      <w:r w:rsidRPr="006A7674">
        <w:rPr>
          <w:rFonts w:ascii="Bookman Old Style" w:hAnsi="Bookman Old Style"/>
          <w:sz w:val="22"/>
          <w:szCs w:val="22"/>
        </w:rPr>
        <w:t xml:space="preserve"> Delta, per quanto attiene …….</w:t>
      </w:r>
    </w:p>
    <w:p w14:paraId="26CAB7CC"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2. La definizione agevolata è ammessa per le controversie attribuite alla giurisdizione tributaria</w:t>
      </w:r>
      <w:r>
        <w:rPr>
          <w:rStyle w:val="Rimandonotaapidipagina"/>
          <w:rFonts w:ascii="Bookman Old Style" w:hAnsi="Bookman Old Style"/>
          <w:sz w:val="22"/>
          <w:szCs w:val="22"/>
        </w:rPr>
        <w:footnoteReference w:id="14"/>
      </w:r>
      <w:r w:rsidRPr="006A7674">
        <w:rPr>
          <w:rFonts w:ascii="Bookman Old Style" w:hAnsi="Bookman Old Style"/>
          <w:sz w:val="22"/>
          <w:szCs w:val="22"/>
        </w:rPr>
        <w:t xml:space="preserve"> in cui è parte il Comune impositore, così come definito dal precedente comma.</w:t>
      </w:r>
    </w:p>
    <w:p w14:paraId="49F9DBC9"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3. La definizione agevolata non è ammessa per le controversie relative ai dinieghi</w:t>
      </w:r>
      <w:r>
        <w:rPr>
          <w:rFonts w:ascii="Bookman Old Style" w:hAnsi="Bookman Old Style"/>
          <w:sz w:val="22"/>
          <w:szCs w:val="22"/>
        </w:rPr>
        <w:t xml:space="preserve"> </w:t>
      </w:r>
      <w:r w:rsidRPr="006A7674">
        <w:rPr>
          <w:rFonts w:ascii="Bookman Old Style" w:hAnsi="Bookman Old Style"/>
          <w:sz w:val="22"/>
          <w:szCs w:val="22"/>
        </w:rPr>
        <w:t>al rimborso, espressi o taciti</w:t>
      </w:r>
      <w:r w:rsidRPr="006A7674">
        <w:rPr>
          <w:rStyle w:val="Rimandonotaapidipagina"/>
          <w:rFonts w:ascii="Bookman Old Style" w:hAnsi="Bookman Old Style"/>
          <w:sz w:val="22"/>
          <w:szCs w:val="22"/>
        </w:rPr>
        <w:footnoteReference w:id="15"/>
      </w:r>
      <w:r w:rsidRPr="006A7674">
        <w:rPr>
          <w:rFonts w:ascii="Bookman Old Style" w:hAnsi="Bookman Old Style"/>
          <w:sz w:val="22"/>
          <w:szCs w:val="22"/>
        </w:rPr>
        <w:t>.</w:t>
      </w:r>
    </w:p>
    <w:p w14:paraId="11717D39" w14:textId="77777777" w:rsidR="00732E3C" w:rsidRPr="006A7674" w:rsidRDefault="00732E3C" w:rsidP="00732E3C">
      <w:pPr>
        <w:pStyle w:val="Rientrocorpodeltesto"/>
        <w:spacing w:after="80" w:line="288" w:lineRule="auto"/>
        <w:rPr>
          <w:rFonts w:ascii="Bookman Old Style" w:hAnsi="Bookman Old Style"/>
          <w:sz w:val="22"/>
          <w:szCs w:val="22"/>
        </w:rPr>
      </w:pPr>
    </w:p>
    <w:p w14:paraId="49DDA6F5"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15" w:name="_Toc128489457"/>
      <w:bookmarkStart w:id="16" w:name="_Toc218672109"/>
      <w:r w:rsidRPr="006A7674">
        <w:rPr>
          <w:rFonts w:ascii="Bookman Old Style" w:hAnsi="Bookman Old Style"/>
          <w:sz w:val="22"/>
          <w:szCs w:val="22"/>
        </w:rPr>
        <w:lastRenderedPageBreak/>
        <w:t>Articolo 3 – Termini e modalità di presentazione della domanda</w:t>
      </w:r>
      <w:bookmarkEnd w:id="15"/>
      <w:bookmarkEnd w:id="16"/>
      <w:r w:rsidRPr="006A7674">
        <w:rPr>
          <w:rFonts w:ascii="Bookman Old Style" w:hAnsi="Bookman Old Style"/>
          <w:sz w:val="22"/>
          <w:szCs w:val="22"/>
        </w:rPr>
        <w:t xml:space="preserve"> </w:t>
      </w:r>
    </w:p>
    <w:p w14:paraId="575AE822"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1. La domanda di definizione agevolata della controversia di cui all’articolo 2 deve essere presentata entro</w:t>
      </w:r>
      <w:r w:rsidR="0015266E">
        <w:rPr>
          <w:rStyle w:val="Rimandonotaapidipagina"/>
          <w:rFonts w:ascii="Bookman Old Style" w:hAnsi="Bookman Old Style"/>
          <w:sz w:val="22"/>
          <w:szCs w:val="22"/>
        </w:rPr>
        <w:footnoteReference w:id="16"/>
      </w:r>
      <w:r w:rsidRPr="006A7674">
        <w:rPr>
          <w:rFonts w:ascii="Bookman Old Style" w:hAnsi="Bookman Old Style"/>
          <w:sz w:val="22"/>
          <w:szCs w:val="22"/>
        </w:rPr>
        <w:t xml:space="preserve"> il </w:t>
      </w:r>
      <w:r w:rsidR="0015266E">
        <w:rPr>
          <w:rFonts w:ascii="Bookman Old Style" w:hAnsi="Bookman Old Style"/>
          <w:sz w:val="22"/>
          <w:szCs w:val="22"/>
        </w:rPr>
        <w:t>………………</w:t>
      </w:r>
      <w:r w:rsidRPr="006A7674">
        <w:rPr>
          <w:rFonts w:ascii="Bookman Old Style" w:hAnsi="Bookman Old Style"/>
          <w:sz w:val="22"/>
          <w:szCs w:val="22"/>
        </w:rPr>
        <w:t>. La domanda, da redigersi su modello predisposto dal Comune (</w:t>
      </w:r>
      <w:r w:rsidRPr="0015266E">
        <w:rPr>
          <w:rFonts w:ascii="Bookman Old Style" w:hAnsi="Bookman Old Style"/>
          <w:i/>
          <w:color w:val="FF0000"/>
          <w:sz w:val="22"/>
          <w:szCs w:val="22"/>
        </w:rPr>
        <w:t>o concessionario o società in house o società gestione Tares/Tari, …</w:t>
      </w:r>
      <w:r w:rsidRPr="006A7674">
        <w:rPr>
          <w:rFonts w:ascii="Bookman Old Style" w:hAnsi="Bookman Old Style"/>
          <w:sz w:val="22"/>
          <w:szCs w:val="22"/>
        </w:rPr>
        <w:t xml:space="preserve">) e resa disponibile sul proprio sito internet, nel termine di </w:t>
      </w:r>
      <w:proofErr w:type="gramStart"/>
      <w:r w:rsidRPr="006A7674">
        <w:rPr>
          <w:rFonts w:ascii="Bookman Old Style" w:hAnsi="Bookman Old Style"/>
          <w:sz w:val="22"/>
          <w:szCs w:val="22"/>
        </w:rPr>
        <w:t>10</w:t>
      </w:r>
      <w:proofErr w:type="gramEnd"/>
      <w:r w:rsidRPr="006A7674">
        <w:rPr>
          <w:rFonts w:ascii="Bookman Old Style" w:hAnsi="Bookman Old Style"/>
          <w:sz w:val="22"/>
          <w:szCs w:val="22"/>
        </w:rPr>
        <w:t xml:space="preserve"> giorni dall’approvazione del presente regolamento, può essere notificata con raccomanda A/R o tramite posta elettronica certificata o consegnata a mani</w:t>
      </w:r>
      <w:r w:rsidR="00D94942">
        <w:rPr>
          <w:rStyle w:val="Rimandonotaapidipagina"/>
          <w:rFonts w:ascii="Bookman Old Style" w:hAnsi="Bookman Old Style"/>
          <w:sz w:val="22"/>
          <w:szCs w:val="22"/>
        </w:rPr>
        <w:footnoteReference w:id="17"/>
      </w:r>
      <w:r w:rsidRPr="006A7674">
        <w:rPr>
          <w:rFonts w:ascii="Bookman Old Style" w:hAnsi="Bookman Old Style"/>
          <w:sz w:val="22"/>
          <w:szCs w:val="22"/>
        </w:rPr>
        <w:t>.</w:t>
      </w:r>
    </w:p>
    <w:p w14:paraId="5588461A"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2. Il contribuente deve presentare una distinta domanda, esente da bollo, per ogni singolo atto impugnato, anche nel caso di ricorso cumulativo o collettivo</w:t>
      </w:r>
      <w:r>
        <w:rPr>
          <w:rFonts w:ascii="Bookman Old Style" w:hAnsi="Bookman Old Style"/>
          <w:sz w:val="22"/>
          <w:szCs w:val="22"/>
        </w:rPr>
        <w:t xml:space="preserve"> riguardante più di un atto</w:t>
      </w:r>
      <w:r w:rsidRPr="006A7674">
        <w:rPr>
          <w:rFonts w:ascii="Bookman Old Style" w:hAnsi="Bookman Old Style"/>
          <w:sz w:val="22"/>
          <w:szCs w:val="22"/>
        </w:rPr>
        <w:t>.</w:t>
      </w:r>
    </w:p>
    <w:p w14:paraId="67F646E8" w14:textId="77777777" w:rsidR="00732E3C" w:rsidRPr="006A7674" w:rsidRDefault="00732E3C" w:rsidP="00732E3C">
      <w:pPr>
        <w:pStyle w:val="Rientrocorpodeltesto"/>
        <w:spacing w:after="80" w:line="288" w:lineRule="auto"/>
        <w:rPr>
          <w:rFonts w:ascii="Bookman Old Style" w:hAnsi="Bookman Old Style"/>
          <w:sz w:val="22"/>
          <w:szCs w:val="22"/>
        </w:rPr>
      </w:pPr>
    </w:p>
    <w:p w14:paraId="6E0B2EF6"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17" w:name="_Toc128489458"/>
      <w:bookmarkStart w:id="18" w:name="_Toc218672110"/>
      <w:r w:rsidRPr="006A7674">
        <w:rPr>
          <w:rFonts w:ascii="Bookman Old Style" w:hAnsi="Bookman Old Style"/>
          <w:sz w:val="22"/>
          <w:szCs w:val="22"/>
        </w:rPr>
        <w:t>Articolo 4 – Importi dovuti</w:t>
      </w:r>
      <w:bookmarkEnd w:id="17"/>
      <w:bookmarkEnd w:id="18"/>
    </w:p>
    <w:p w14:paraId="3E1576CC" w14:textId="77777777" w:rsidR="00A73A50" w:rsidRDefault="00732E3C" w:rsidP="00A73A50">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1. Ai fini della definizione delle controversie di cui all’articolo 2, il soggetto che ha proposto l'atto introduttivo del giudizio</w:t>
      </w:r>
      <w:r>
        <w:rPr>
          <w:rFonts w:ascii="Bookman Old Style" w:hAnsi="Bookman Old Style"/>
          <w:sz w:val="22"/>
          <w:szCs w:val="22"/>
        </w:rPr>
        <w:t>,</w:t>
      </w:r>
      <w:r w:rsidRPr="006A7674">
        <w:rPr>
          <w:rFonts w:ascii="Bookman Old Style" w:hAnsi="Bookman Old Style"/>
          <w:sz w:val="22"/>
          <w:szCs w:val="22"/>
        </w:rPr>
        <w:t xml:space="preserve"> o chi vi è subentrato o ne ha la legittimazione</w:t>
      </w:r>
      <w:r>
        <w:rPr>
          <w:rFonts w:ascii="Bookman Old Style" w:hAnsi="Bookman Old Style"/>
          <w:sz w:val="22"/>
          <w:szCs w:val="22"/>
        </w:rPr>
        <w:t>,</w:t>
      </w:r>
      <w:r w:rsidRPr="006A7674">
        <w:rPr>
          <w:rFonts w:ascii="Bookman Old Style" w:hAnsi="Bookman Old Style"/>
          <w:sz w:val="22"/>
          <w:szCs w:val="22"/>
        </w:rPr>
        <w:t xml:space="preserve"> può definire la controversia tenuto conto dello stato in cui si trovava la controversia e dell’esito delle pronunce depositate</w:t>
      </w:r>
      <w:r w:rsidRPr="006A7674">
        <w:rPr>
          <w:rStyle w:val="Rimandonotaapidipagina"/>
          <w:rFonts w:ascii="Bookman Old Style" w:hAnsi="Bookman Old Style"/>
          <w:sz w:val="22"/>
          <w:szCs w:val="22"/>
        </w:rPr>
        <w:footnoteReference w:id="18"/>
      </w:r>
      <w:r w:rsidRPr="006A7674">
        <w:rPr>
          <w:rFonts w:ascii="Bookman Old Style" w:hAnsi="Bookman Old Style"/>
          <w:sz w:val="22"/>
          <w:szCs w:val="22"/>
        </w:rPr>
        <w:t xml:space="preserve"> entro la data del 1° gennaio 202</w:t>
      </w:r>
      <w:r w:rsidR="0015266E">
        <w:rPr>
          <w:rFonts w:ascii="Bookman Old Style" w:hAnsi="Bookman Old Style"/>
          <w:sz w:val="22"/>
          <w:szCs w:val="22"/>
        </w:rPr>
        <w:t>6</w:t>
      </w:r>
      <w:r w:rsidRPr="006A7674">
        <w:rPr>
          <w:rFonts w:ascii="Bookman Old Style" w:hAnsi="Bookman Old Style"/>
          <w:sz w:val="22"/>
          <w:szCs w:val="22"/>
        </w:rPr>
        <w:t>. In particolare</w:t>
      </w:r>
      <w:r>
        <w:rPr>
          <w:rFonts w:ascii="Bookman Old Style" w:hAnsi="Bookman Old Style"/>
          <w:sz w:val="22"/>
          <w:szCs w:val="22"/>
        </w:rPr>
        <w:t>,</w:t>
      </w:r>
      <w:r w:rsidRPr="006A7674">
        <w:rPr>
          <w:rFonts w:ascii="Bookman Old Style" w:hAnsi="Bookman Old Style"/>
          <w:sz w:val="22"/>
          <w:szCs w:val="22"/>
        </w:rPr>
        <w:t xml:space="preserve"> la definizione può avvenire col pagamento de</w:t>
      </w:r>
      <w:r w:rsidR="0015266E">
        <w:rPr>
          <w:rFonts w:ascii="Bookman Old Style" w:hAnsi="Bookman Old Style"/>
          <w:sz w:val="22"/>
          <w:szCs w:val="22"/>
        </w:rPr>
        <w:t>l solo tributo, qualsiasi sia l’esito</w:t>
      </w:r>
      <w:r w:rsidR="00461C71">
        <w:rPr>
          <w:rStyle w:val="Rimandonotaapidipagina"/>
          <w:rFonts w:ascii="Bookman Old Style" w:hAnsi="Bookman Old Style"/>
          <w:sz w:val="22"/>
          <w:szCs w:val="22"/>
        </w:rPr>
        <w:footnoteReference w:id="19"/>
      </w:r>
      <w:r w:rsidR="0015266E">
        <w:rPr>
          <w:rFonts w:ascii="Bookman Old Style" w:hAnsi="Bookman Old Style"/>
          <w:sz w:val="22"/>
          <w:szCs w:val="22"/>
        </w:rPr>
        <w:t xml:space="preserve"> delle eventuali sentenze di primo o secondo grado non passate in giudicato</w:t>
      </w:r>
      <w:r w:rsidR="007D4765">
        <w:rPr>
          <w:rFonts w:ascii="Bookman Old Style" w:hAnsi="Bookman Old Style"/>
          <w:sz w:val="22"/>
          <w:szCs w:val="22"/>
        </w:rPr>
        <w:t xml:space="preserve"> alla data di cui all’articolo 3, comma 1</w:t>
      </w:r>
      <w:r w:rsidR="00461C71">
        <w:rPr>
          <w:rStyle w:val="Rimandonotaapidipagina"/>
          <w:rFonts w:ascii="Bookman Old Style" w:hAnsi="Bookman Old Style"/>
          <w:sz w:val="22"/>
          <w:szCs w:val="22"/>
        </w:rPr>
        <w:footnoteReference w:id="20"/>
      </w:r>
      <w:r w:rsidR="0015266E">
        <w:rPr>
          <w:rFonts w:ascii="Bookman Old Style" w:hAnsi="Bookman Old Style"/>
          <w:sz w:val="22"/>
          <w:szCs w:val="22"/>
        </w:rPr>
        <w:t>.</w:t>
      </w:r>
    </w:p>
    <w:p w14:paraId="587B4B72" w14:textId="77777777" w:rsidR="00F977B8" w:rsidRPr="00991709" w:rsidRDefault="00F977B8" w:rsidP="00A73A50">
      <w:pPr>
        <w:pStyle w:val="Rientrocorpodeltesto"/>
        <w:spacing w:after="80" w:line="288" w:lineRule="auto"/>
        <w:rPr>
          <w:rFonts w:ascii="Bookman Old Style" w:hAnsi="Bookman Old Style"/>
          <w:sz w:val="22"/>
          <w:szCs w:val="22"/>
        </w:rPr>
      </w:pPr>
      <w:r>
        <w:rPr>
          <w:rFonts w:ascii="Bookman Old Style" w:hAnsi="Bookman Old Style"/>
          <w:sz w:val="22"/>
          <w:szCs w:val="22"/>
        </w:rPr>
        <w:t xml:space="preserve">2. Per le controversie relative esclusivamente alle sanzioni collegate al tributo cui si riferiscono, ai fini della definizione non è dovuto alcun importo qualora il rapporto relativo al tributo sia stato definito anche con modalità diverse dalla definizione disciplinata dal presente regolamento. La definizione della lite si realizza con la sola </w:t>
      </w:r>
      <w:r w:rsidRPr="00991709">
        <w:rPr>
          <w:rFonts w:ascii="Bookman Old Style" w:hAnsi="Bookman Old Style"/>
          <w:sz w:val="22"/>
          <w:szCs w:val="22"/>
        </w:rPr>
        <w:t>presentazione della domanda di definizione</w:t>
      </w:r>
      <w:r w:rsidRPr="00991709">
        <w:rPr>
          <w:rStyle w:val="Rimandonotaapidipagina"/>
          <w:rFonts w:ascii="Bookman Old Style" w:hAnsi="Bookman Old Style"/>
          <w:sz w:val="22"/>
          <w:szCs w:val="22"/>
        </w:rPr>
        <w:footnoteReference w:id="21"/>
      </w:r>
      <w:r w:rsidRPr="00991709">
        <w:rPr>
          <w:rFonts w:ascii="Bookman Old Style" w:hAnsi="Bookman Old Style"/>
          <w:sz w:val="22"/>
          <w:szCs w:val="22"/>
        </w:rPr>
        <w:t>.</w:t>
      </w:r>
    </w:p>
    <w:p w14:paraId="0D0A3E5E" w14:textId="77777777" w:rsidR="00732E3C" w:rsidRPr="00991709" w:rsidRDefault="00F977B8" w:rsidP="00A73A50">
      <w:pPr>
        <w:pStyle w:val="Rientrocorpodeltesto"/>
        <w:spacing w:after="80" w:line="288" w:lineRule="auto"/>
        <w:rPr>
          <w:rFonts w:ascii="Bookman Old Style" w:hAnsi="Bookman Old Style"/>
          <w:spacing w:val="4"/>
          <w:sz w:val="22"/>
          <w:szCs w:val="22"/>
        </w:rPr>
      </w:pPr>
      <w:r w:rsidRPr="00991709">
        <w:rPr>
          <w:rFonts w:ascii="Bookman Old Style" w:hAnsi="Bookman Old Style"/>
          <w:sz w:val="22"/>
          <w:szCs w:val="22"/>
        </w:rPr>
        <w:t>3</w:t>
      </w:r>
      <w:r w:rsidR="00732E3C" w:rsidRPr="00991709">
        <w:rPr>
          <w:rFonts w:ascii="Bookman Old Style" w:hAnsi="Bookman Old Style"/>
          <w:spacing w:val="4"/>
          <w:sz w:val="22"/>
          <w:szCs w:val="22"/>
        </w:rPr>
        <w:t>. Per l</w:t>
      </w:r>
      <w:r w:rsidR="00A73A50" w:rsidRPr="00991709">
        <w:rPr>
          <w:rFonts w:ascii="Bookman Old Style" w:hAnsi="Bookman Old Style"/>
          <w:spacing w:val="4"/>
          <w:sz w:val="22"/>
          <w:szCs w:val="22"/>
        </w:rPr>
        <w:t xml:space="preserve">e </w:t>
      </w:r>
      <w:r w:rsidR="00732E3C" w:rsidRPr="00991709">
        <w:rPr>
          <w:rFonts w:ascii="Bookman Old Style" w:hAnsi="Bookman Old Style"/>
          <w:spacing w:val="4"/>
          <w:sz w:val="22"/>
          <w:szCs w:val="22"/>
        </w:rPr>
        <w:t>controversie relative esclusivamente alle sanzioni</w:t>
      </w:r>
      <w:r w:rsidR="00920803" w:rsidRPr="00991709">
        <w:rPr>
          <w:rFonts w:ascii="Bookman Old Style" w:hAnsi="Bookman Old Style"/>
          <w:spacing w:val="4"/>
          <w:sz w:val="22"/>
          <w:szCs w:val="22"/>
        </w:rPr>
        <w:t xml:space="preserve"> </w:t>
      </w:r>
      <w:r w:rsidR="00732E3C" w:rsidRPr="00991709">
        <w:rPr>
          <w:rFonts w:ascii="Bookman Old Style" w:hAnsi="Bookman Old Style"/>
          <w:spacing w:val="4"/>
          <w:sz w:val="22"/>
          <w:szCs w:val="22"/>
        </w:rPr>
        <w:t>non collegate al tributo, sono dovuti i seguenti importi:</w:t>
      </w:r>
    </w:p>
    <w:p w14:paraId="5D07497B" w14:textId="77777777" w:rsidR="00732E3C" w:rsidRPr="00991709" w:rsidRDefault="00732E3C" w:rsidP="00732E3C">
      <w:pPr>
        <w:pStyle w:val="testo"/>
        <w:numPr>
          <w:ilvl w:val="0"/>
          <w:numId w:val="1"/>
        </w:numPr>
        <w:spacing w:after="80" w:line="288" w:lineRule="auto"/>
        <w:rPr>
          <w:rFonts w:ascii="Bookman Old Style" w:hAnsi="Bookman Old Style"/>
          <w:spacing w:val="4"/>
          <w:sz w:val="22"/>
          <w:szCs w:val="22"/>
        </w:rPr>
      </w:pPr>
      <w:r w:rsidRPr="00991709">
        <w:rPr>
          <w:rFonts w:ascii="Bookman Old Style" w:hAnsi="Bookman Old Style"/>
          <w:spacing w:val="4"/>
          <w:sz w:val="22"/>
          <w:szCs w:val="22"/>
        </w:rPr>
        <w:t>il 15% del valore della controversia se il Comune impositore è risultato soccombente nell’ultima o unica pronuncia, non cautelare, depositata entro il 1° gennaio 202</w:t>
      </w:r>
      <w:r w:rsidR="005C55C4" w:rsidRPr="00991709">
        <w:rPr>
          <w:rFonts w:ascii="Bookman Old Style" w:hAnsi="Bookman Old Style"/>
          <w:spacing w:val="4"/>
          <w:sz w:val="22"/>
          <w:szCs w:val="22"/>
        </w:rPr>
        <w:t>6</w:t>
      </w:r>
      <w:r w:rsidRPr="00991709">
        <w:rPr>
          <w:rFonts w:ascii="Bookman Old Style" w:hAnsi="Bookman Old Style"/>
          <w:spacing w:val="4"/>
          <w:sz w:val="22"/>
          <w:szCs w:val="22"/>
        </w:rPr>
        <w:t>;</w:t>
      </w:r>
    </w:p>
    <w:p w14:paraId="7B9AC966" w14:textId="77777777" w:rsidR="00732E3C" w:rsidRPr="00991709" w:rsidRDefault="00732E3C" w:rsidP="00732E3C">
      <w:pPr>
        <w:pStyle w:val="testo"/>
        <w:numPr>
          <w:ilvl w:val="0"/>
          <w:numId w:val="1"/>
        </w:numPr>
        <w:spacing w:after="80" w:line="288" w:lineRule="auto"/>
        <w:rPr>
          <w:rFonts w:ascii="Bookman Old Style" w:hAnsi="Bookman Old Style"/>
          <w:spacing w:val="4"/>
          <w:sz w:val="22"/>
          <w:szCs w:val="22"/>
        </w:rPr>
      </w:pPr>
      <w:r w:rsidRPr="00991709">
        <w:rPr>
          <w:rFonts w:ascii="Bookman Old Style" w:hAnsi="Bookman Old Style"/>
          <w:spacing w:val="4"/>
          <w:sz w:val="22"/>
          <w:szCs w:val="22"/>
        </w:rPr>
        <w:t>il 40% del valore della controversia negli altri casi</w:t>
      </w:r>
      <w:r w:rsidRPr="00991709">
        <w:rPr>
          <w:rStyle w:val="Rimandonotaapidipagina"/>
          <w:rFonts w:ascii="Bookman Old Style" w:hAnsi="Bookman Old Style"/>
          <w:spacing w:val="4"/>
          <w:sz w:val="22"/>
          <w:szCs w:val="22"/>
        </w:rPr>
        <w:footnoteReference w:id="22"/>
      </w:r>
      <w:r w:rsidRPr="00991709">
        <w:rPr>
          <w:rFonts w:ascii="Bookman Old Style" w:hAnsi="Bookman Old Style"/>
          <w:spacing w:val="4"/>
          <w:sz w:val="22"/>
          <w:szCs w:val="22"/>
        </w:rPr>
        <w:t>;</w:t>
      </w:r>
    </w:p>
    <w:p w14:paraId="7C2D4676" w14:textId="77777777" w:rsidR="00732E3C" w:rsidRPr="00991709" w:rsidRDefault="00732E3C" w:rsidP="00732E3C">
      <w:pPr>
        <w:pStyle w:val="testo"/>
        <w:numPr>
          <w:ilvl w:val="0"/>
          <w:numId w:val="1"/>
        </w:numPr>
        <w:spacing w:after="80" w:line="288" w:lineRule="auto"/>
        <w:rPr>
          <w:rFonts w:ascii="Bookman Old Style" w:hAnsi="Bookman Old Style"/>
          <w:spacing w:val="4"/>
          <w:sz w:val="22"/>
          <w:szCs w:val="22"/>
        </w:rPr>
      </w:pPr>
      <w:r w:rsidRPr="00991709">
        <w:rPr>
          <w:rFonts w:ascii="Bookman Old Style" w:hAnsi="Bookman Old Style"/>
          <w:spacing w:val="4"/>
          <w:sz w:val="22"/>
          <w:szCs w:val="22"/>
        </w:rPr>
        <w:lastRenderedPageBreak/>
        <w:t>in caso di soccombenza parziale, è dovuto il 15% del valore della controversia per la parte in cui è risultato soccombente il Comune impositore, ed il 40% per la restante parte.</w:t>
      </w:r>
    </w:p>
    <w:p w14:paraId="6FF5192C" w14:textId="77777777" w:rsidR="00732E3C" w:rsidRPr="006A7674" w:rsidRDefault="005C55C4" w:rsidP="00732E3C">
      <w:pPr>
        <w:pStyle w:val="Rientrocorpodeltesto"/>
        <w:spacing w:after="80" w:line="288" w:lineRule="auto"/>
        <w:rPr>
          <w:rFonts w:ascii="Bookman Old Style" w:hAnsi="Bookman Old Style"/>
          <w:spacing w:val="4"/>
          <w:sz w:val="22"/>
          <w:szCs w:val="22"/>
        </w:rPr>
      </w:pPr>
      <w:r>
        <w:rPr>
          <w:rFonts w:ascii="Bookman Old Style" w:hAnsi="Bookman Old Style"/>
          <w:spacing w:val="4"/>
          <w:sz w:val="22"/>
          <w:szCs w:val="22"/>
        </w:rPr>
        <w:t>4</w:t>
      </w:r>
      <w:r w:rsidR="00732E3C" w:rsidRPr="006A7674">
        <w:rPr>
          <w:rFonts w:ascii="Bookman Old Style" w:hAnsi="Bookman Old Style"/>
          <w:spacing w:val="4"/>
          <w:sz w:val="22"/>
          <w:szCs w:val="22"/>
        </w:rPr>
        <w:t>. Dagli importi dovuti in base ai precedenti commi sono scomputati quelli versati, a qualsiasi titolo, in pendenza di giudizio. La definizione non dà comunque luogo alla restituzione delle somme già versate, se eccedenti rispetto a quanto dovuto per la definizione.</w:t>
      </w:r>
    </w:p>
    <w:p w14:paraId="28D39403" w14:textId="77777777" w:rsidR="00732E3C" w:rsidRPr="006A7674" w:rsidRDefault="005C55C4" w:rsidP="00732E3C">
      <w:pPr>
        <w:pStyle w:val="Rientrocorpodeltesto"/>
        <w:spacing w:after="80" w:line="288" w:lineRule="auto"/>
        <w:rPr>
          <w:rFonts w:ascii="Bookman Old Style" w:hAnsi="Bookman Old Style"/>
          <w:sz w:val="22"/>
          <w:szCs w:val="22"/>
        </w:rPr>
      </w:pPr>
      <w:r>
        <w:rPr>
          <w:rFonts w:ascii="Bookman Old Style" w:hAnsi="Bookman Old Style"/>
          <w:sz w:val="22"/>
          <w:szCs w:val="22"/>
        </w:rPr>
        <w:t>5</w:t>
      </w:r>
      <w:r w:rsidR="00732E3C" w:rsidRPr="006A7674">
        <w:rPr>
          <w:rFonts w:ascii="Bookman Old Style" w:hAnsi="Bookman Old Style"/>
          <w:sz w:val="22"/>
          <w:szCs w:val="22"/>
        </w:rPr>
        <w:t>. Gli importi dovuti, di cui ai precedenti commi, sono liquidati direttamente dal contribuente.</w:t>
      </w:r>
    </w:p>
    <w:p w14:paraId="57E207A3" w14:textId="77777777" w:rsidR="00732E3C" w:rsidRPr="006A7674" w:rsidRDefault="005C55C4" w:rsidP="00732E3C">
      <w:pPr>
        <w:pStyle w:val="Rientrocorpodeltesto"/>
        <w:spacing w:after="80" w:line="288" w:lineRule="auto"/>
        <w:rPr>
          <w:rFonts w:ascii="Bookman Old Style" w:hAnsi="Bookman Old Style"/>
          <w:sz w:val="22"/>
          <w:szCs w:val="22"/>
        </w:rPr>
      </w:pPr>
      <w:r>
        <w:rPr>
          <w:rFonts w:ascii="Bookman Old Style" w:hAnsi="Bookman Old Style"/>
          <w:sz w:val="22"/>
          <w:szCs w:val="22"/>
        </w:rPr>
        <w:t>6</w:t>
      </w:r>
      <w:r w:rsidR="00732E3C" w:rsidRPr="006A7674">
        <w:rPr>
          <w:rFonts w:ascii="Bookman Old Style" w:hAnsi="Bookman Old Style"/>
          <w:sz w:val="22"/>
          <w:szCs w:val="22"/>
        </w:rPr>
        <w:t>. Qualora non ci siano importi da versare, la definizione si perfeziona con la sola presentazione della domanda.</w:t>
      </w:r>
    </w:p>
    <w:p w14:paraId="154BDC2C" w14:textId="2C537944" w:rsidR="00732E3C" w:rsidRPr="006A7674" w:rsidRDefault="005C55C4" w:rsidP="00732E3C">
      <w:pPr>
        <w:pStyle w:val="Rientrocorpodeltesto"/>
        <w:spacing w:after="80" w:line="288" w:lineRule="auto"/>
        <w:rPr>
          <w:rFonts w:ascii="Bookman Old Style" w:hAnsi="Bookman Old Style"/>
          <w:sz w:val="22"/>
          <w:szCs w:val="22"/>
        </w:rPr>
      </w:pPr>
      <w:r>
        <w:rPr>
          <w:rFonts w:ascii="Bookman Old Style" w:hAnsi="Bookman Old Style"/>
          <w:sz w:val="22"/>
          <w:szCs w:val="22"/>
        </w:rPr>
        <w:t>7</w:t>
      </w:r>
      <w:r w:rsidR="00732E3C" w:rsidRPr="006A7674">
        <w:rPr>
          <w:rFonts w:ascii="Bookman Old Style" w:hAnsi="Bookman Old Style"/>
          <w:sz w:val="22"/>
          <w:szCs w:val="22"/>
        </w:rPr>
        <w:t>. Nel caso in cui sia stata attivata la riscossione coattiva degli importi in contenzioso ed il contribuente non abbia pagato tali importi, il perfezionamento della definizione costituisce titolo per ottenere lo sgravio del ruolo</w:t>
      </w:r>
      <w:r w:rsidR="009E69A7" w:rsidRPr="00290554">
        <w:rPr>
          <w:rFonts w:ascii="Bookman Old Style" w:hAnsi="Bookman Old Style"/>
          <w:sz w:val="22"/>
          <w:szCs w:val="22"/>
        </w:rPr>
        <w:t>,</w:t>
      </w:r>
      <w:r w:rsidR="00732E3C" w:rsidRPr="00290554">
        <w:rPr>
          <w:rFonts w:ascii="Bookman Old Style" w:hAnsi="Bookman Old Style"/>
          <w:sz w:val="22"/>
          <w:szCs w:val="22"/>
        </w:rPr>
        <w:t xml:space="preserve"> o dell’ingiunzione di pagamento</w:t>
      </w:r>
      <w:r w:rsidR="009E69A7" w:rsidRPr="00290554">
        <w:rPr>
          <w:rFonts w:ascii="Bookman Old Style" w:hAnsi="Bookman Old Style"/>
          <w:sz w:val="22"/>
          <w:szCs w:val="22"/>
        </w:rPr>
        <w:t>,</w:t>
      </w:r>
      <w:r w:rsidR="00732E3C" w:rsidRPr="00290554">
        <w:rPr>
          <w:rFonts w:ascii="Bookman Old Style" w:hAnsi="Bookman Old Style"/>
          <w:sz w:val="22"/>
          <w:szCs w:val="22"/>
        </w:rPr>
        <w:t xml:space="preserve"> o del carico relativo all’accertamento esecutivo</w:t>
      </w:r>
      <w:r w:rsidR="009E69A7" w:rsidRPr="00290554">
        <w:rPr>
          <w:rFonts w:ascii="Bookman Old Style" w:hAnsi="Bookman Old Style"/>
          <w:sz w:val="22"/>
          <w:szCs w:val="22"/>
        </w:rPr>
        <w:t>,</w:t>
      </w:r>
      <w:r w:rsidR="009E69A7">
        <w:rPr>
          <w:rFonts w:ascii="Bookman Old Style" w:hAnsi="Bookman Old Style"/>
          <w:sz w:val="22"/>
          <w:szCs w:val="22"/>
        </w:rPr>
        <w:t xml:space="preserve"> cui la richiesta di definizione si riferisce</w:t>
      </w:r>
      <w:r w:rsidR="009E69A7" w:rsidRPr="00F74550">
        <w:rPr>
          <w:rFonts w:ascii="Bookman Old Style" w:hAnsi="Bookman Old Style"/>
          <w:sz w:val="22"/>
          <w:szCs w:val="22"/>
        </w:rPr>
        <w:t>.</w:t>
      </w:r>
    </w:p>
    <w:p w14:paraId="1A4A434D" w14:textId="77777777" w:rsidR="00732E3C" w:rsidRPr="006A7674" w:rsidRDefault="00732E3C" w:rsidP="00732E3C">
      <w:pPr>
        <w:pStyle w:val="Rientrocorpodeltesto"/>
        <w:spacing w:after="80" w:line="288" w:lineRule="auto"/>
        <w:rPr>
          <w:rFonts w:ascii="Bookman Old Style" w:hAnsi="Bookman Old Style"/>
          <w:sz w:val="22"/>
          <w:szCs w:val="22"/>
        </w:rPr>
      </w:pPr>
    </w:p>
    <w:p w14:paraId="2E04A71B"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19" w:name="_Toc128489459"/>
      <w:bookmarkStart w:id="20" w:name="_Toc218672111"/>
      <w:r w:rsidRPr="006A7674">
        <w:rPr>
          <w:rFonts w:ascii="Bookman Old Style" w:hAnsi="Bookman Old Style"/>
          <w:sz w:val="22"/>
          <w:szCs w:val="22"/>
        </w:rPr>
        <w:t>Articolo 5 – Perfezionamento della definizione</w:t>
      </w:r>
      <w:bookmarkEnd w:id="19"/>
      <w:bookmarkEnd w:id="20"/>
    </w:p>
    <w:p w14:paraId="038B9140" w14:textId="77777777"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1. La definizione agevolata delle controversie tributarie pendenti si perfeziona con la presentazione della domanda di cui all’articolo 3, comma 1, e con il pagamento degli importi dovuti ai sensi dell’articolo 4, entro il</w:t>
      </w:r>
      <w:r w:rsidRPr="005C55C4">
        <w:rPr>
          <w:rFonts w:ascii="Bookman Old Style" w:hAnsi="Bookman Old Style"/>
          <w:color w:val="FF0000"/>
          <w:spacing w:val="4"/>
          <w:sz w:val="22"/>
          <w:szCs w:val="22"/>
        </w:rPr>
        <w:t xml:space="preserve"> </w:t>
      </w:r>
      <w:r w:rsidR="005C55C4" w:rsidRPr="005C55C4">
        <w:rPr>
          <w:rFonts w:ascii="Bookman Old Style" w:hAnsi="Bookman Old Style"/>
          <w:color w:val="FF0000"/>
          <w:spacing w:val="4"/>
          <w:sz w:val="22"/>
          <w:szCs w:val="22"/>
        </w:rPr>
        <w:t>………</w:t>
      </w:r>
      <w:proofErr w:type="gramStart"/>
      <w:r w:rsidR="005C55C4" w:rsidRPr="005C55C4">
        <w:rPr>
          <w:rFonts w:ascii="Bookman Old Style" w:hAnsi="Bookman Old Style"/>
          <w:color w:val="FF0000"/>
          <w:spacing w:val="4"/>
          <w:sz w:val="22"/>
          <w:szCs w:val="22"/>
        </w:rPr>
        <w:t>…….</w:t>
      </w:r>
      <w:proofErr w:type="gramEnd"/>
      <w:r w:rsidRPr="005C55C4">
        <w:rPr>
          <w:rFonts w:ascii="Bookman Old Style" w:hAnsi="Bookman Old Style"/>
          <w:color w:val="FF0000"/>
          <w:spacing w:val="4"/>
          <w:sz w:val="22"/>
          <w:szCs w:val="22"/>
        </w:rPr>
        <w:t>.</w:t>
      </w:r>
      <w:r w:rsidRPr="006A7674">
        <w:rPr>
          <w:rFonts w:ascii="Bookman Old Style" w:hAnsi="Bookman Old Style"/>
          <w:spacing w:val="4"/>
          <w:sz w:val="22"/>
          <w:szCs w:val="22"/>
        </w:rPr>
        <w:t xml:space="preserve"> </w:t>
      </w:r>
    </w:p>
    <w:p w14:paraId="1C5000F2" w14:textId="77777777" w:rsidR="001D071A"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2. Se l’importo dovuto è superiore a mille euro è ammesso il pagamento rateale, in un massimo di venti rate </w:t>
      </w:r>
      <w:r w:rsidR="00BA1DCC">
        <w:rPr>
          <w:rFonts w:ascii="Bookman Old Style" w:hAnsi="Bookman Old Style"/>
          <w:spacing w:val="4"/>
          <w:sz w:val="22"/>
          <w:szCs w:val="22"/>
        </w:rPr>
        <w:t>mensili</w:t>
      </w:r>
      <w:r w:rsidRPr="006A7674">
        <w:rPr>
          <w:rFonts w:ascii="Bookman Old Style" w:hAnsi="Bookman Old Style"/>
          <w:spacing w:val="4"/>
          <w:sz w:val="22"/>
          <w:szCs w:val="22"/>
        </w:rPr>
        <w:t xml:space="preserve"> di pari importo, aventi scadenza il 31 marzo, il 30 giugno, il 30 settembre e 20 dicembre di ciascun anno</w:t>
      </w:r>
      <w:r w:rsidR="00E64565">
        <w:rPr>
          <w:rStyle w:val="Rimandonotaapidipagina"/>
          <w:rFonts w:ascii="Bookman Old Style" w:hAnsi="Bookman Old Style"/>
          <w:spacing w:val="4"/>
          <w:sz w:val="22"/>
          <w:szCs w:val="22"/>
        </w:rPr>
        <w:footnoteReference w:id="23"/>
      </w:r>
      <w:r w:rsidRPr="006A7674">
        <w:rPr>
          <w:rFonts w:ascii="Bookman Old Style" w:hAnsi="Bookman Old Style"/>
          <w:spacing w:val="4"/>
          <w:sz w:val="22"/>
          <w:szCs w:val="22"/>
        </w:rPr>
        <w:t xml:space="preserve">. La prima rata deve essere versata entro il </w:t>
      </w:r>
      <w:r w:rsidR="00BA1DCC" w:rsidRPr="00E64565">
        <w:rPr>
          <w:rFonts w:ascii="Bookman Old Style" w:hAnsi="Bookman Old Style"/>
          <w:color w:val="FF0000"/>
          <w:spacing w:val="4"/>
          <w:sz w:val="22"/>
          <w:szCs w:val="22"/>
        </w:rPr>
        <w:t>………</w:t>
      </w:r>
      <w:proofErr w:type="gramStart"/>
      <w:r w:rsidR="00BA1DCC" w:rsidRPr="00E64565">
        <w:rPr>
          <w:rFonts w:ascii="Bookman Old Style" w:hAnsi="Bookman Old Style"/>
          <w:color w:val="FF0000"/>
          <w:spacing w:val="4"/>
          <w:sz w:val="22"/>
          <w:szCs w:val="22"/>
        </w:rPr>
        <w:t>…….</w:t>
      </w:r>
      <w:proofErr w:type="gramEnd"/>
      <w:r w:rsidRPr="006A7674">
        <w:rPr>
          <w:rStyle w:val="Rimandonotaapidipagina"/>
          <w:rFonts w:ascii="Bookman Old Style" w:hAnsi="Bookman Old Style"/>
          <w:spacing w:val="4"/>
          <w:sz w:val="22"/>
          <w:szCs w:val="22"/>
        </w:rPr>
        <w:footnoteReference w:id="24"/>
      </w:r>
      <w:r w:rsidRPr="006A7674">
        <w:rPr>
          <w:rFonts w:ascii="Bookman Old Style" w:hAnsi="Bookman Old Style"/>
          <w:spacing w:val="4"/>
          <w:sz w:val="22"/>
          <w:szCs w:val="22"/>
        </w:rPr>
        <w:t xml:space="preserve">. Sulle rate successive alla prima sono dovuti gli interessi legali calcolati </w:t>
      </w:r>
      <w:r w:rsidR="00BA1DCC">
        <w:rPr>
          <w:rFonts w:ascii="Bookman Old Style" w:hAnsi="Bookman Old Style"/>
          <w:spacing w:val="4"/>
          <w:sz w:val="22"/>
          <w:szCs w:val="22"/>
        </w:rPr>
        <w:t>maggiorati di due punti percentuali</w:t>
      </w:r>
      <w:r w:rsidR="00BA1DCC">
        <w:rPr>
          <w:rStyle w:val="Rimandonotaapidipagina"/>
          <w:rFonts w:ascii="Bookman Old Style" w:hAnsi="Bookman Old Style"/>
          <w:spacing w:val="4"/>
          <w:sz w:val="22"/>
          <w:szCs w:val="22"/>
        </w:rPr>
        <w:footnoteReference w:id="25"/>
      </w:r>
      <w:r w:rsidR="00E64565">
        <w:rPr>
          <w:rFonts w:ascii="Bookman Old Style" w:hAnsi="Bookman Old Style"/>
          <w:spacing w:val="4"/>
          <w:sz w:val="22"/>
          <w:szCs w:val="22"/>
        </w:rPr>
        <w:t xml:space="preserve"> </w:t>
      </w:r>
      <w:r w:rsidRPr="006A7674">
        <w:rPr>
          <w:rFonts w:ascii="Bookman Old Style" w:hAnsi="Bookman Old Style"/>
          <w:spacing w:val="4"/>
          <w:sz w:val="22"/>
          <w:szCs w:val="22"/>
        </w:rPr>
        <w:t xml:space="preserve">dalla data del versamento della prima rata. La definizione agevolata si perfeziona con la presentazione della domanda di cui all’articolo 3, comma 1, e con il pagamento degli importi dovuti con la prima rata in scadenza il </w:t>
      </w:r>
      <w:r w:rsidR="00E64565">
        <w:rPr>
          <w:rFonts w:ascii="Bookman Old Style" w:hAnsi="Bookman Old Style"/>
          <w:color w:val="FF0000"/>
          <w:spacing w:val="4"/>
          <w:sz w:val="22"/>
          <w:szCs w:val="22"/>
        </w:rPr>
        <w:t>…………..</w:t>
      </w:r>
      <w:r w:rsidRPr="006A7674">
        <w:rPr>
          <w:rFonts w:ascii="Bookman Old Style" w:hAnsi="Bookman Old Style"/>
          <w:spacing w:val="4"/>
          <w:sz w:val="22"/>
          <w:szCs w:val="22"/>
        </w:rPr>
        <w:t>. In caso di mancato pagamento</w:t>
      </w:r>
      <w:r w:rsidR="00E64565">
        <w:rPr>
          <w:rFonts w:ascii="Bookman Old Style" w:hAnsi="Bookman Old Style"/>
          <w:spacing w:val="4"/>
          <w:sz w:val="22"/>
          <w:szCs w:val="22"/>
        </w:rPr>
        <w:t>, dopo espresso sollecito,</w:t>
      </w:r>
      <w:r w:rsidRPr="006A7674">
        <w:rPr>
          <w:rFonts w:ascii="Bookman Old Style" w:hAnsi="Bookman Old Style"/>
          <w:spacing w:val="4"/>
          <w:sz w:val="22"/>
          <w:szCs w:val="22"/>
        </w:rPr>
        <w:t xml:space="preserve"> </w:t>
      </w:r>
      <w:r w:rsidR="00E64565">
        <w:rPr>
          <w:rFonts w:ascii="Bookman Old Style" w:hAnsi="Bookman Old Style"/>
          <w:spacing w:val="4"/>
          <w:sz w:val="22"/>
          <w:szCs w:val="22"/>
        </w:rPr>
        <w:t xml:space="preserve">di due rate successive </w:t>
      </w:r>
      <w:r w:rsidRPr="006A7674">
        <w:rPr>
          <w:rFonts w:ascii="Bookman Old Style" w:hAnsi="Bookman Old Style"/>
          <w:spacing w:val="4"/>
          <w:sz w:val="22"/>
          <w:szCs w:val="22"/>
        </w:rPr>
        <w:t>alla prima</w:t>
      </w:r>
      <w:r w:rsidR="00E64565">
        <w:rPr>
          <w:rFonts w:ascii="Bookman Old Style" w:hAnsi="Bookman Old Style"/>
          <w:spacing w:val="4"/>
          <w:sz w:val="22"/>
          <w:szCs w:val="22"/>
        </w:rPr>
        <w:t>, anche non consecutive,</w:t>
      </w:r>
      <w:r w:rsidRPr="006A7674">
        <w:rPr>
          <w:rFonts w:ascii="Bookman Old Style" w:hAnsi="Bookman Old Style"/>
          <w:spacing w:val="4"/>
          <w:sz w:val="22"/>
          <w:szCs w:val="22"/>
        </w:rPr>
        <w:t xml:space="preserve"> </w:t>
      </w:r>
      <w:r w:rsidR="00E64565">
        <w:rPr>
          <w:rFonts w:ascii="Bookman Old Style" w:hAnsi="Bookman Old Style"/>
          <w:spacing w:val="4"/>
          <w:sz w:val="22"/>
          <w:szCs w:val="22"/>
        </w:rPr>
        <w:t xml:space="preserve">nell’arco di sei mesi, il debitore decade dal beneficio della definizione agevolata e </w:t>
      </w:r>
      <w:r w:rsidR="001D071A">
        <w:rPr>
          <w:rFonts w:ascii="Bookman Old Style" w:hAnsi="Bookman Old Style"/>
          <w:spacing w:val="4"/>
          <w:sz w:val="22"/>
          <w:szCs w:val="22"/>
        </w:rPr>
        <w:t>i versamenti effettuati sono acquisiti a titolo di acconto dell’importo originario complessivamente dovuto</w:t>
      </w:r>
      <w:r w:rsidR="001D071A">
        <w:rPr>
          <w:rStyle w:val="Rimandonotaapidipagina"/>
          <w:rFonts w:ascii="Bookman Old Style" w:hAnsi="Bookman Old Style"/>
          <w:spacing w:val="4"/>
          <w:sz w:val="22"/>
          <w:szCs w:val="22"/>
        </w:rPr>
        <w:footnoteReference w:id="26"/>
      </w:r>
      <w:r w:rsidR="001D071A">
        <w:rPr>
          <w:rFonts w:ascii="Bookman Old Style" w:hAnsi="Bookman Old Style"/>
          <w:spacing w:val="4"/>
          <w:sz w:val="22"/>
          <w:szCs w:val="22"/>
        </w:rPr>
        <w:t>.</w:t>
      </w:r>
    </w:p>
    <w:p w14:paraId="4440FC56" w14:textId="77777777"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3. Qualora, ai sensi dell’articolo 4, non ci siano importi da versare, la definizione si perfeziona con la sola presentazione della domanda</w:t>
      </w:r>
      <w:r w:rsidRPr="006A7674">
        <w:rPr>
          <w:rStyle w:val="Rimandonotaapidipagina"/>
          <w:rFonts w:ascii="Bookman Old Style" w:hAnsi="Bookman Old Style"/>
          <w:spacing w:val="4"/>
          <w:sz w:val="22"/>
          <w:szCs w:val="22"/>
        </w:rPr>
        <w:footnoteReference w:id="27"/>
      </w:r>
      <w:r w:rsidRPr="006A7674">
        <w:rPr>
          <w:rFonts w:ascii="Bookman Old Style" w:hAnsi="Bookman Old Style"/>
          <w:spacing w:val="4"/>
          <w:sz w:val="22"/>
          <w:szCs w:val="22"/>
        </w:rPr>
        <w:t>.</w:t>
      </w:r>
    </w:p>
    <w:p w14:paraId="0C1D4078" w14:textId="77777777" w:rsidR="00732E3C" w:rsidRPr="006A7674" w:rsidRDefault="001D071A" w:rsidP="00732E3C">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lastRenderedPageBreak/>
        <w:t>4</w:t>
      </w:r>
      <w:r w:rsidR="00732E3C" w:rsidRPr="006A7674">
        <w:rPr>
          <w:rFonts w:ascii="Bookman Old Style" w:hAnsi="Bookman Old Style"/>
          <w:spacing w:val="4"/>
          <w:sz w:val="22"/>
          <w:szCs w:val="22"/>
        </w:rPr>
        <w:t>. Il contribuente deve effettuare il versamento degli importi dovuti con riferimento ad ogni singolo atto impugnato. Nel modello di domanda, di cui all’articolo 3, saranno rese note anche le modalità di pagamento con riferimento a ciascun tributo comunale.</w:t>
      </w:r>
    </w:p>
    <w:p w14:paraId="593EEB2C" w14:textId="77777777" w:rsidR="00732E3C" w:rsidRDefault="001D071A" w:rsidP="00732E3C">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t>5</w:t>
      </w:r>
      <w:r w:rsidR="00732E3C" w:rsidRPr="006A7674">
        <w:rPr>
          <w:rFonts w:ascii="Bookman Old Style" w:hAnsi="Bookman Old Style"/>
          <w:spacing w:val="4"/>
          <w:sz w:val="22"/>
          <w:szCs w:val="22"/>
        </w:rPr>
        <w:t>. La definizione agevolata perfezionata dal coobbligato giova in favore degli altri, compresi quelli per i quali la controversia non sia più pendente.</w:t>
      </w:r>
    </w:p>
    <w:p w14:paraId="1179FB35" w14:textId="277A8346" w:rsidR="00732E3C" w:rsidRDefault="00830758" w:rsidP="00732E3C">
      <w:pPr>
        <w:pStyle w:val="testo"/>
        <w:spacing w:after="80" w:line="288" w:lineRule="auto"/>
        <w:ind w:firstLine="0"/>
        <w:rPr>
          <w:rFonts w:ascii="Bookman Old Style" w:hAnsi="Bookman Old Style"/>
          <w:spacing w:val="4"/>
          <w:sz w:val="22"/>
          <w:szCs w:val="22"/>
        </w:rPr>
      </w:pPr>
      <w:r>
        <w:rPr>
          <w:rFonts w:ascii="Bookman Old Style" w:hAnsi="Bookman Old Style"/>
          <w:spacing w:val="4"/>
          <w:sz w:val="22"/>
          <w:szCs w:val="22"/>
        </w:rPr>
        <w:t xml:space="preserve">6. Non </w:t>
      </w:r>
      <w:r w:rsidRPr="007810AD">
        <w:rPr>
          <w:rFonts w:ascii="Bookman Old Style" w:hAnsi="Bookman Old Style"/>
          <w:spacing w:val="4"/>
          <w:sz w:val="22"/>
          <w:szCs w:val="22"/>
        </w:rPr>
        <w:t>possono essere definite le controversie decise con sentenze defin</w:t>
      </w:r>
      <w:r w:rsidR="009E69A7">
        <w:rPr>
          <w:rFonts w:ascii="Bookman Old Style" w:hAnsi="Bookman Old Style"/>
          <w:spacing w:val="4"/>
          <w:sz w:val="22"/>
          <w:szCs w:val="22"/>
        </w:rPr>
        <w:t>i</w:t>
      </w:r>
      <w:r w:rsidRPr="007810AD">
        <w:rPr>
          <w:rFonts w:ascii="Bookman Old Style" w:hAnsi="Bookman Old Style"/>
          <w:spacing w:val="4"/>
          <w:sz w:val="22"/>
          <w:szCs w:val="22"/>
        </w:rPr>
        <w:t xml:space="preserve">tive alla data di perfezionamento della definizione. </w:t>
      </w:r>
    </w:p>
    <w:p w14:paraId="18B7E923" w14:textId="77777777" w:rsidR="007810AD" w:rsidRPr="006A7674" w:rsidRDefault="007810AD" w:rsidP="00732E3C">
      <w:pPr>
        <w:pStyle w:val="testo"/>
        <w:spacing w:after="80" w:line="288" w:lineRule="auto"/>
        <w:ind w:firstLine="0"/>
        <w:rPr>
          <w:rFonts w:ascii="Bookman Old Style" w:hAnsi="Bookman Old Style"/>
          <w:spacing w:val="4"/>
          <w:sz w:val="22"/>
          <w:szCs w:val="22"/>
        </w:rPr>
      </w:pPr>
    </w:p>
    <w:p w14:paraId="0FA6E99D"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21" w:name="_Toc128489460"/>
      <w:bookmarkStart w:id="22" w:name="_Toc218672112"/>
      <w:r w:rsidRPr="006A7674">
        <w:rPr>
          <w:rFonts w:ascii="Bookman Old Style" w:hAnsi="Bookman Old Style"/>
          <w:sz w:val="22"/>
          <w:szCs w:val="22"/>
        </w:rPr>
        <w:t>Articolo 6 – Diniego della definizione</w:t>
      </w:r>
      <w:bookmarkEnd w:id="21"/>
      <w:bookmarkEnd w:id="22"/>
    </w:p>
    <w:p w14:paraId="115CD8D8" w14:textId="1F0AF22C" w:rsidR="00095960"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1. L'eventuale diniego della definizione agevolata deve essere notificato entro il </w:t>
      </w:r>
      <w:r w:rsidR="00991709">
        <w:rPr>
          <w:rFonts w:ascii="Bookman Old Style" w:hAnsi="Bookman Old Style"/>
          <w:spacing w:val="4"/>
          <w:sz w:val="22"/>
          <w:szCs w:val="22"/>
        </w:rPr>
        <w:t>sessant</w:t>
      </w:r>
      <w:r w:rsidR="00707E68">
        <w:rPr>
          <w:rFonts w:ascii="Bookman Old Style" w:hAnsi="Bookman Old Style"/>
          <w:spacing w:val="4"/>
          <w:sz w:val="22"/>
          <w:szCs w:val="22"/>
        </w:rPr>
        <w:t>esimo</w:t>
      </w:r>
      <w:r w:rsidR="00991709">
        <w:rPr>
          <w:rFonts w:ascii="Bookman Old Style" w:hAnsi="Bookman Old Style"/>
          <w:spacing w:val="4"/>
          <w:sz w:val="22"/>
          <w:szCs w:val="22"/>
        </w:rPr>
        <w:t xml:space="preserve"> giorno dalla data di ricevimento della domanda di cui all’articolo 3, comma 1. </w:t>
      </w:r>
      <w:r w:rsidRPr="006A7674">
        <w:rPr>
          <w:rFonts w:ascii="Bookman Old Style" w:hAnsi="Bookman Old Style"/>
          <w:spacing w:val="4"/>
          <w:sz w:val="22"/>
          <w:szCs w:val="22"/>
        </w:rPr>
        <w:t>Il diniego è impugnabile entro sessanta giorni dalla notificazione</w:t>
      </w:r>
      <w:r w:rsidR="00095960">
        <w:rPr>
          <w:rStyle w:val="Rimandonotaapidipagina"/>
          <w:rFonts w:ascii="Bookman Old Style" w:hAnsi="Bookman Old Style"/>
          <w:spacing w:val="4"/>
          <w:sz w:val="22"/>
          <w:szCs w:val="22"/>
        </w:rPr>
        <w:footnoteReference w:id="28"/>
      </w:r>
      <w:r w:rsidR="00095960">
        <w:rPr>
          <w:rFonts w:ascii="Bookman Old Style" w:hAnsi="Bookman Old Style"/>
          <w:spacing w:val="4"/>
          <w:sz w:val="22"/>
          <w:szCs w:val="22"/>
        </w:rPr>
        <w:t>.</w:t>
      </w:r>
    </w:p>
    <w:p w14:paraId="31F7A1C6" w14:textId="77777777" w:rsidR="00732E3C" w:rsidRPr="006A7674" w:rsidRDefault="00732E3C" w:rsidP="00732E3C">
      <w:pPr>
        <w:pStyle w:val="testo"/>
        <w:spacing w:after="80" w:line="288" w:lineRule="auto"/>
        <w:rPr>
          <w:rFonts w:ascii="Bookman Old Style" w:hAnsi="Bookman Old Style"/>
          <w:spacing w:val="4"/>
          <w:sz w:val="22"/>
          <w:szCs w:val="22"/>
        </w:rPr>
      </w:pPr>
    </w:p>
    <w:p w14:paraId="0405F177"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23" w:name="_Toc128489461"/>
      <w:bookmarkStart w:id="24" w:name="_Toc218672113"/>
      <w:r w:rsidRPr="006A7674">
        <w:rPr>
          <w:rFonts w:ascii="Bookman Old Style" w:hAnsi="Bookman Old Style"/>
          <w:sz w:val="22"/>
          <w:szCs w:val="22"/>
        </w:rPr>
        <w:t>Articolo 7 – Sospensione del processo</w:t>
      </w:r>
      <w:bookmarkEnd w:id="23"/>
      <w:r w:rsidR="0093222C">
        <w:rPr>
          <w:rStyle w:val="Rimandonotaapidipagina"/>
          <w:rFonts w:ascii="Bookman Old Style" w:hAnsi="Bookman Old Style"/>
          <w:sz w:val="22"/>
          <w:szCs w:val="22"/>
        </w:rPr>
        <w:footnoteReference w:id="29"/>
      </w:r>
      <w:bookmarkEnd w:id="24"/>
    </w:p>
    <w:p w14:paraId="730D0F1C" w14:textId="77777777" w:rsidR="0093222C"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1. </w:t>
      </w:r>
      <w:r w:rsidR="0093222C">
        <w:rPr>
          <w:rFonts w:ascii="Bookman Old Style" w:hAnsi="Bookman Old Style"/>
          <w:spacing w:val="4"/>
          <w:sz w:val="22"/>
          <w:szCs w:val="22"/>
        </w:rPr>
        <w:t>L</w:t>
      </w:r>
      <w:r w:rsidR="0093222C" w:rsidRPr="0093222C">
        <w:rPr>
          <w:rFonts w:ascii="Bookman Old Style" w:hAnsi="Bookman Old Style"/>
          <w:spacing w:val="4"/>
          <w:sz w:val="22"/>
          <w:szCs w:val="22"/>
        </w:rPr>
        <w:t>a richiesta del contribuente di avvalersi dell</w:t>
      </w:r>
      <w:r w:rsidR="0093222C">
        <w:rPr>
          <w:rFonts w:ascii="Bookman Old Style" w:hAnsi="Bookman Old Style"/>
          <w:spacing w:val="4"/>
          <w:sz w:val="22"/>
          <w:szCs w:val="22"/>
        </w:rPr>
        <w:t>a definizione agevolata</w:t>
      </w:r>
      <w:r w:rsidR="0093222C" w:rsidRPr="0093222C">
        <w:rPr>
          <w:rFonts w:ascii="Bookman Old Style" w:hAnsi="Bookman Old Style"/>
          <w:spacing w:val="4"/>
          <w:sz w:val="22"/>
          <w:szCs w:val="22"/>
        </w:rPr>
        <w:t xml:space="preserve"> comporta la sospensione, su istanza di parte, del procedimento giurisdizionale, in qualunque stato e grado questo sia eventualmente pendente, sino al</w:t>
      </w:r>
      <w:r w:rsidR="0093222C">
        <w:rPr>
          <w:rFonts w:ascii="Bookman Old Style" w:hAnsi="Bookman Old Style"/>
          <w:spacing w:val="4"/>
          <w:sz w:val="22"/>
          <w:szCs w:val="22"/>
        </w:rPr>
        <w:t xml:space="preserve"> perfezionamento della definizione nei termini di cui all’articolo 5. Successivamente, su istanza di una delle parti</w:t>
      </w:r>
      <w:r w:rsidR="0093222C">
        <w:rPr>
          <w:rStyle w:val="Rimandonotaapidipagina"/>
          <w:rFonts w:ascii="Bookman Old Style" w:hAnsi="Bookman Old Style"/>
          <w:spacing w:val="4"/>
          <w:sz w:val="22"/>
          <w:szCs w:val="22"/>
        </w:rPr>
        <w:footnoteReference w:id="30"/>
      </w:r>
      <w:r w:rsidR="0093222C">
        <w:rPr>
          <w:rFonts w:ascii="Bookman Old Style" w:hAnsi="Bookman Old Style"/>
          <w:spacing w:val="4"/>
          <w:sz w:val="22"/>
          <w:szCs w:val="22"/>
        </w:rPr>
        <w:t>, è presentata istanza di estinzione del giudizio e le spese del processo restano a carico della parte che le ha anticipate.</w:t>
      </w:r>
    </w:p>
    <w:p w14:paraId="57099DCE" w14:textId="77777777" w:rsidR="007D4765" w:rsidRDefault="007D4765" w:rsidP="00732E3C">
      <w:pPr>
        <w:pStyle w:val="testo"/>
        <w:spacing w:after="80" w:line="288" w:lineRule="auto"/>
        <w:rPr>
          <w:rFonts w:ascii="Bookman Old Style" w:hAnsi="Bookman Old Style"/>
          <w:spacing w:val="4"/>
          <w:sz w:val="22"/>
          <w:szCs w:val="22"/>
        </w:rPr>
      </w:pPr>
    </w:p>
    <w:p w14:paraId="26F7D2C3" w14:textId="77777777" w:rsidR="00732E3C" w:rsidRDefault="00732E3C" w:rsidP="00732E3C">
      <w:pPr>
        <w:pStyle w:val="testo"/>
        <w:spacing w:after="80" w:line="288" w:lineRule="auto"/>
        <w:rPr>
          <w:rFonts w:ascii="Bookman Old Style" w:hAnsi="Bookman Old Style"/>
          <w:spacing w:val="4"/>
          <w:sz w:val="22"/>
          <w:szCs w:val="22"/>
        </w:rPr>
      </w:pPr>
    </w:p>
    <w:p w14:paraId="0C5D3E09" w14:textId="77777777" w:rsidR="00187C51" w:rsidRPr="00D23E66" w:rsidRDefault="00187C51" w:rsidP="00187C51">
      <w:pPr>
        <w:pStyle w:val="Titolo3"/>
        <w:spacing w:after="80" w:line="288" w:lineRule="auto"/>
        <w:jc w:val="left"/>
        <w:rPr>
          <w:rFonts w:ascii="Bookman Old Style" w:hAnsi="Bookman Old Style"/>
          <w:i/>
          <w:sz w:val="22"/>
          <w:szCs w:val="22"/>
        </w:rPr>
      </w:pPr>
      <w:bookmarkStart w:id="25" w:name="_Toc218672114"/>
      <w:r w:rsidRPr="00D23E66">
        <w:rPr>
          <w:rFonts w:ascii="Bookman Old Style" w:hAnsi="Bookman Old Style"/>
          <w:sz w:val="22"/>
          <w:szCs w:val="22"/>
        </w:rPr>
        <w:t xml:space="preserve">Articolo </w:t>
      </w:r>
      <w:r>
        <w:rPr>
          <w:rFonts w:ascii="Bookman Old Style" w:hAnsi="Bookman Old Style"/>
          <w:sz w:val="22"/>
          <w:szCs w:val="22"/>
        </w:rPr>
        <w:t>8</w:t>
      </w:r>
      <w:r w:rsidRPr="00D23E66">
        <w:rPr>
          <w:rFonts w:ascii="Bookman Old Style" w:hAnsi="Bookman Old Style"/>
          <w:sz w:val="22"/>
          <w:szCs w:val="22"/>
        </w:rPr>
        <w:t xml:space="preserve"> – </w:t>
      </w:r>
      <w:r w:rsidRPr="00CC47B6">
        <w:rPr>
          <w:rFonts w:ascii="Bookman Old Style" w:hAnsi="Bookman Old Style"/>
          <w:iCs/>
          <w:sz w:val="22"/>
          <w:szCs w:val="22"/>
        </w:rPr>
        <w:t>Entrata in vigore</w:t>
      </w:r>
      <w:bookmarkEnd w:id="25"/>
    </w:p>
    <w:p w14:paraId="7021A5C6" w14:textId="77777777" w:rsidR="00187C51" w:rsidRDefault="00187C51" w:rsidP="00187C51">
      <w:pPr>
        <w:pStyle w:val="testo"/>
        <w:spacing w:after="80" w:line="288" w:lineRule="auto"/>
        <w:rPr>
          <w:rFonts w:ascii="Bookman Old Style" w:hAnsi="Bookman Old Style"/>
          <w:spacing w:val="4"/>
          <w:sz w:val="22"/>
          <w:szCs w:val="22"/>
        </w:rPr>
      </w:pPr>
      <w:r w:rsidRPr="00D23E66">
        <w:rPr>
          <w:rFonts w:ascii="Bookman Old Style" w:hAnsi="Bookman Old Style"/>
          <w:spacing w:val="4"/>
          <w:sz w:val="22"/>
          <w:szCs w:val="22"/>
        </w:rPr>
        <w:t>1. Il presente regolamento entra in vigore lo stesso giorno della sua approvazione</w:t>
      </w:r>
      <w:r w:rsidRPr="00D23E66">
        <w:rPr>
          <w:rStyle w:val="Rimandonotaapidipagina"/>
          <w:rFonts w:ascii="Bookman Old Style" w:hAnsi="Bookman Old Style"/>
          <w:spacing w:val="4"/>
          <w:sz w:val="22"/>
          <w:szCs w:val="22"/>
        </w:rPr>
        <w:footnoteReference w:id="31"/>
      </w:r>
      <w:r w:rsidRPr="00D23E66">
        <w:rPr>
          <w:rFonts w:ascii="Bookman Old Style" w:hAnsi="Bookman Old Style"/>
          <w:spacing w:val="4"/>
          <w:sz w:val="22"/>
          <w:szCs w:val="22"/>
        </w:rPr>
        <w:t>.</w:t>
      </w:r>
    </w:p>
    <w:p w14:paraId="55E19A35" w14:textId="77777777" w:rsidR="00187C51" w:rsidRPr="006A7674" w:rsidRDefault="00187C51" w:rsidP="00732E3C">
      <w:pPr>
        <w:pStyle w:val="testo"/>
        <w:spacing w:after="80" w:line="288" w:lineRule="auto"/>
        <w:rPr>
          <w:rFonts w:ascii="Bookman Old Style" w:hAnsi="Bookman Old Style"/>
          <w:spacing w:val="4"/>
          <w:sz w:val="22"/>
          <w:szCs w:val="22"/>
        </w:rPr>
      </w:pPr>
    </w:p>
    <w:p w14:paraId="6E9EE4D5" w14:textId="77777777" w:rsidR="00BA6F58" w:rsidRPr="006A7674" w:rsidRDefault="00BA6F58" w:rsidP="00BA6F58">
      <w:pPr>
        <w:spacing w:after="80" w:line="288" w:lineRule="auto"/>
        <w:jc w:val="center"/>
        <w:rPr>
          <w:rFonts w:ascii="Bookman Old Style" w:hAnsi="Bookman Old Style"/>
        </w:rPr>
      </w:pPr>
    </w:p>
    <w:p w14:paraId="60BDA55B" w14:textId="77777777" w:rsidR="00BA6F58" w:rsidRDefault="00BA6F58" w:rsidP="00BA6F58">
      <w:pPr>
        <w:pStyle w:val="Titolo3"/>
        <w:spacing w:after="120" w:line="288" w:lineRule="auto"/>
        <w:rPr>
          <w:rFonts w:ascii="Bookman Old Style" w:hAnsi="Bookman Old Style"/>
          <w:i/>
          <w:sz w:val="22"/>
          <w:szCs w:val="22"/>
        </w:rPr>
      </w:pPr>
      <w:bookmarkStart w:id="26" w:name="_Toc218672115"/>
      <w:r>
        <w:rPr>
          <w:rFonts w:ascii="Bookman Old Style" w:hAnsi="Bookman Old Style"/>
        </w:rPr>
        <w:lastRenderedPageBreak/>
        <w:t>PARTE III- CONCILIAZIONE AGEVOLATA DEI RICORSI</w:t>
      </w:r>
      <w:bookmarkEnd w:id="26"/>
      <w:r w:rsidRPr="00D23E66">
        <w:rPr>
          <w:rFonts w:ascii="Bookman Old Style" w:hAnsi="Bookman Old Style"/>
          <w:i/>
          <w:sz w:val="22"/>
          <w:szCs w:val="22"/>
        </w:rPr>
        <w:t xml:space="preserve"> </w:t>
      </w:r>
    </w:p>
    <w:p w14:paraId="762A13FF" w14:textId="77777777" w:rsidR="00BA6F58" w:rsidRPr="00BA6F58" w:rsidRDefault="00BA6F58" w:rsidP="00BA6F58">
      <w:pPr>
        <w:pStyle w:val="Rientrocorpodeltesto"/>
        <w:spacing w:after="80" w:line="288" w:lineRule="auto"/>
        <w:rPr>
          <w:rFonts w:ascii="Bookman Old Style" w:hAnsi="Bookman Old Style"/>
          <w:sz w:val="22"/>
          <w:szCs w:val="22"/>
        </w:rPr>
      </w:pPr>
    </w:p>
    <w:p w14:paraId="474E246F" w14:textId="77777777" w:rsidR="00BA6F58" w:rsidRPr="00D23E66" w:rsidRDefault="00BA6F58" w:rsidP="00BA6F58">
      <w:pPr>
        <w:pStyle w:val="Titolo3"/>
        <w:spacing w:after="120" w:line="288" w:lineRule="auto"/>
        <w:jc w:val="both"/>
        <w:rPr>
          <w:rFonts w:ascii="Bookman Old Style" w:hAnsi="Bookman Old Style"/>
          <w:i/>
          <w:sz w:val="22"/>
          <w:szCs w:val="22"/>
        </w:rPr>
      </w:pPr>
      <w:bookmarkStart w:id="27" w:name="_Toc218672116"/>
      <w:r w:rsidRPr="00D23E66">
        <w:rPr>
          <w:rFonts w:ascii="Bookman Old Style" w:hAnsi="Bookman Old Style"/>
          <w:sz w:val="22"/>
          <w:szCs w:val="22"/>
        </w:rPr>
        <w:t xml:space="preserve">Articolo 1 - </w:t>
      </w:r>
      <w:r w:rsidRPr="00CC47B6">
        <w:rPr>
          <w:rFonts w:ascii="Bookman Old Style" w:hAnsi="Bookman Old Style"/>
          <w:iCs/>
          <w:sz w:val="22"/>
          <w:szCs w:val="22"/>
        </w:rPr>
        <w:t>Oggetto del Regolamento</w:t>
      </w:r>
      <w:bookmarkEnd w:id="27"/>
      <w:r w:rsidRPr="00D23E66">
        <w:rPr>
          <w:rFonts w:ascii="Bookman Old Style" w:hAnsi="Bookman Old Style"/>
          <w:i/>
          <w:sz w:val="22"/>
          <w:szCs w:val="22"/>
        </w:rPr>
        <w:t xml:space="preserve"> </w:t>
      </w:r>
    </w:p>
    <w:p w14:paraId="1BD88779" w14:textId="77777777" w:rsidR="00BA6F58" w:rsidRDefault="00BA6F58" w:rsidP="00BA6F58">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Il presente regolamento adottato nell'ambito della potestà prevista dall’articolo 52 del decreto legislativo 15 dicembre 1997, n. 446 ed in attuazione dell’articolo </w:t>
      </w:r>
      <w:r>
        <w:rPr>
          <w:rFonts w:ascii="Bookman Old Style" w:hAnsi="Bookman Old Style"/>
          <w:sz w:val="22"/>
          <w:szCs w:val="22"/>
        </w:rPr>
        <w:t>1, commi da 102 a 110 della legge 30 dicembre 2025, n. 199</w:t>
      </w:r>
      <w:r w:rsidRPr="00D23E66">
        <w:rPr>
          <w:rFonts w:ascii="Bookman Old Style" w:hAnsi="Bookman Old Style"/>
          <w:sz w:val="22"/>
          <w:szCs w:val="22"/>
        </w:rPr>
        <w:t xml:space="preserve">, disciplina la definizione agevolata delle </w:t>
      </w:r>
      <w:r>
        <w:rPr>
          <w:rFonts w:ascii="Bookman Old Style" w:hAnsi="Bookman Old Style"/>
          <w:sz w:val="22"/>
          <w:szCs w:val="22"/>
        </w:rPr>
        <w:t>controversie tributarie pendenti al 1° gennaio 2026 attraverso l</w:t>
      </w:r>
      <w:r w:rsidR="001646A0">
        <w:rPr>
          <w:rFonts w:ascii="Bookman Old Style" w:hAnsi="Bookman Old Style"/>
          <w:sz w:val="22"/>
          <w:szCs w:val="22"/>
        </w:rPr>
        <w:t xml:space="preserve">’istituto della </w:t>
      </w:r>
      <w:r>
        <w:rPr>
          <w:rFonts w:ascii="Bookman Old Style" w:hAnsi="Bookman Old Style"/>
          <w:sz w:val="22"/>
          <w:szCs w:val="22"/>
        </w:rPr>
        <w:t>conciliazione agevolata</w:t>
      </w:r>
      <w:r>
        <w:rPr>
          <w:rStyle w:val="Rimandonotaapidipagina"/>
          <w:rFonts w:ascii="Bookman Old Style" w:hAnsi="Bookman Old Style"/>
          <w:sz w:val="22"/>
          <w:szCs w:val="22"/>
        </w:rPr>
        <w:footnoteReference w:id="32"/>
      </w:r>
      <w:r>
        <w:rPr>
          <w:rFonts w:ascii="Bookman Old Style" w:hAnsi="Bookman Old Style"/>
          <w:sz w:val="22"/>
          <w:szCs w:val="22"/>
        </w:rPr>
        <w:t>.</w:t>
      </w:r>
    </w:p>
    <w:p w14:paraId="5CD1FBEE" w14:textId="77777777" w:rsidR="00BA6F58" w:rsidRPr="006A7674" w:rsidRDefault="00BA6F58" w:rsidP="00BA6F58">
      <w:pPr>
        <w:pStyle w:val="Rientrocorpodeltesto"/>
        <w:spacing w:after="80" w:line="288" w:lineRule="auto"/>
        <w:rPr>
          <w:rFonts w:ascii="Bookman Old Style" w:hAnsi="Bookman Old Style"/>
          <w:sz w:val="22"/>
          <w:szCs w:val="22"/>
        </w:rPr>
      </w:pPr>
    </w:p>
    <w:p w14:paraId="7EBAC488" w14:textId="77777777" w:rsidR="00BA6F58" w:rsidRPr="006A7674" w:rsidRDefault="00BA6F58" w:rsidP="00BA6F58">
      <w:pPr>
        <w:pStyle w:val="Titolo3"/>
        <w:spacing w:after="80" w:line="288" w:lineRule="auto"/>
        <w:jc w:val="left"/>
        <w:rPr>
          <w:rFonts w:ascii="Bookman Old Style" w:hAnsi="Bookman Old Style"/>
          <w:sz w:val="22"/>
          <w:szCs w:val="22"/>
        </w:rPr>
      </w:pPr>
      <w:bookmarkStart w:id="28" w:name="_Toc218672117"/>
      <w:r w:rsidRPr="006A7674">
        <w:rPr>
          <w:rFonts w:ascii="Bookman Old Style" w:hAnsi="Bookman Old Style"/>
          <w:sz w:val="22"/>
          <w:szCs w:val="22"/>
        </w:rPr>
        <w:t>Articolo 2 – Oggetto della definizione agevolata</w:t>
      </w:r>
      <w:bookmarkEnd w:id="28"/>
      <w:r w:rsidRPr="006A7674">
        <w:rPr>
          <w:rFonts w:ascii="Bookman Old Style" w:hAnsi="Bookman Old Style"/>
          <w:sz w:val="22"/>
          <w:szCs w:val="22"/>
        </w:rPr>
        <w:t xml:space="preserve"> </w:t>
      </w:r>
    </w:p>
    <w:p w14:paraId="5E1284E6" w14:textId="77777777" w:rsidR="00BA6F58" w:rsidRDefault="00BA6F58" w:rsidP="00BA6F58">
      <w:pPr>
        <w:pStyle w:val="testo"/>
        <w:spacing w:after="80" w:line="288" w:lineRule="auto"/>
        <w:rPr>
          <w:rFonts w:ascii="Bookman Old Style" w:hAnsi="Bookman Old Style"/>
          <w:sz w:val="22"/>
          <w:szCs w:val="22"/>
        </w:rPr>
      </w:pPr>
      <w:r w:rsidRPr="006A7674">
        <w:rPr>
          <w:rFonts w:ascii="Bookman Old Style" w:hAnsi="Bookman Old Style"/>
          <w:sz w:val="22"/>
          <w:szCs w:val="22"/>
        </w:rPr>
        <w:t>1. Oggetto della definizione agevolata sono le controversie tributarie pendenti, in ogni stato e grado del giudizio, compreso quello in cassazione ed anche a seguito di rinvio, il cui ricorso introduttivo sia stato notificato al Comune impositore</w:t>
      </w:r>
      <w:r w:rsidRPr="006A7674">
        <w:rPr>
          <w:rStyle w:val="Rimandonotaapidipagina"/>
          <w:rFonts w:ascii="Bookman Old Style" w:hAnsi="Bookman Old Style"/>
          <w:sz w:val="22"/>
          <w:szCs w:val="22"/>
        </w:rPr>
        <w:footnoteReference w:id="33"/>
      </w:r>
      <w:r w:rsidRPr="006A7674">
        <w:rPr>
          <w:rFonts w:ascii="Bookman Old Style" w:hAnsi="Bookman Old Style"/>
          <w:sz w:val="22"/>
          <w:szCs w:val="22"/>
        </w:rPr>
        <w:t xml:space="preserve"> entro la data del 1°</w:t>
      </w:r>
      <w:r w:rsidR="001646A0">
        <w:rPr>
          <w:rFonts w:ascii="Bookman Old Style" w:hAnsi="Bookman Old Style"/>
          <w:sz w:val="22"/>
          <w:szCs w:val="22"/>
        </w:rPr>
        <w:t xml:space="preserve"> gennaio 2026.</w:t>
      </w:r>
    </w:p>
    <w:p w14:paraId="41979CD5" w14:textId="77777777" w:rsidR="00534C69" w:rsidRDefault="00534C69" w:rsidP="00BA6F58">
      <w:pPr>
        <w:pStyle w:val="testo"/>
        <w:spacing w:after="80" w:line="288" w:lineRule="auto"/>
        <w:rPr>
          <w:rFonts w:ascii="Bookman Old Style" w:hAnsi="Bookman Old Style"/>
          <w:spacing w:val="4"/>
          <w:sz w:val="22"/>
          <w:szCs w:val="22"/>
        </w:rPr>
      </w:pPr>
    </w:p>
    <w:p w14:paraId="06EDF2BE" w14:textId="77777777" w:rsidR="00732E3C" w:rsidRPr="006A7674" w:rsidRDefault="00732E3C" w:rsidP="00732E3C">
      <w:pPr>
        <w:pStyle w:val="Titolo3"/>
        <w:spacing w:after="80" w:line="288" w:lineRule="auto"/>
        <w:jc w:val="left"/>
        <w:rPr>
          <w:rFonts w:ascii="Bookman Old Style" w:hAnsi="Bookman Old Style"/>
          <w:i/>
          <w:sz w:val="22"/>
          <w:szCs w:val="22"/>
        </w:rPr>
      </w:pPr>
      <w:bookmarkStart w:id="29" w:name="_Toc128489464"/>
      <w:bookmarkStart w:id="30" w:name="_Toc218672118"/>
      <w:r w:rsidRPr="006A7674">
        <w:rPr>
          <w:rFonts w:ascii="Bookman Old Style" w:hAnsi="Bookman Old Style"/>
          <w:sz w:val="22"/>
          <w:szCs w:val="22"/>
        </w:rPr>
        <w:t xml:space="preserve">Articolo </w:t>
      </w:r>
      <w:r w:rsidR="00EF4CB3">
        <w:rPr>
          <w:rFonts w:ascii="Bookman Old Style" w:hAnsi="Bookman Old Style"/>
          <w:sz w:val="22"/>
          <w:szCs w:val="22"/>
        </w:rPr>
        <w:t>3</w:t>
      </w:r>
      <w:r w:rsidRPr="006A7674">
        <w:rPr>
          <w:rFonts w:ascii="Bookman Old Style" w:hAnsi="Bookman Old Style"/>
          <w:sz w:val="22"/>
          <w:szCs w:val="22"/>
        </w:rPr>
        <w:t xml:space="preserve"> – Conciliazione agevolata</w:t>
      </w:r>
      <w:bookmarkEnd w:id="29"/>
      <w:bookmarkEnd w:id="30"/>
    </w:p>
    <w:p w14:paraId="71862A6D" w14:textId="77777777"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1. </w:t>
      </w:r>
      <w:r w:rsidR="001646A0">
        <w:rPr>
          <w:rFonts w:ascii="Bookman Old Style" w:hAnsi="Bookman Old Style"/>
          <w:spacing w:val="4"/>
          <w:sz w:val="22"/>
          <w:szCs w:val="22"/>
        </w:rPr>
        <w:t>L</w:t>
      </w:r>
      <w:r w:rsidRPr="006A7674">
        <w:rPr>
          <w:rFonts w:ascii="Bookman Old Style" w:hAnsi="Bookman Old Style"/>
          <w:spacing w:val="4"/>
          <w:sz w:val="22"/>
          <w:szCs w:val="22"/>
        </w:rPr>
        <w:t>e controversie pendenti alla data del 1° gennaio 202</w:t>
      </w:r>
      <w:r w:rsidR="001646A0">
        <w:rPr>
          <w:rFonts w:ascii="Bookman Old Style" w:hAnsi="Bookman Old Style"/>
          <w:spacing w:val="4"/>
          <w:sz w:val="22"/>
          <w:szCs w:val="22"/>
        </w:rPr>
        <w:t>6</w:t>
      </w:r>
      <w:r w:rsidRPr="006A7674">
        <w:rPr>
          <w:rFonts w:ascii="Bookman Old Style" w:hAnsi="Bookman Old Style"/>
          <w:spacing w:val="4"/>
          <w:sz w:val="22"/>
          <w:szCs w:val="22"/>
        </w:rPr>
        <w:t xml:space="preserve"> </w:t>
      </w:r>
      <w:r w:rsidR="001646A0">
        <w:rPr>
          <w:rFonts w:ascii="Bookman Old Style" w:hAnsi="Bookman Old Style"/>
          <w:spacing w:val="4"/>
          <w:sz w:val="22"/>
          <w:szCs w:val="22"/>
        </w:rPr>
        <w:t>aventi ad</w:t>
      </w:r>
      <w:r w:rsidRPr="006A7674">
        <w:rPr>
          <w:rFonts w:ascii="Bookman Old Style" w:hAnsi="Bookman Old Style"/>
          <w:spacing w:val="4"/>
          <w:sz w:val="22"/>
          <w:szCs w:val="22"/>
        </w:rPr>
        <w:t xml:space="preserve"> oggetto atti impositivi</w:t>
      </w:r>
      <w:r w:rsidRPr="006A7674">
        <w:rPr>
          <w:rStyle w:val="Rimandonotaapidipagina"/>
          <w:rFonts w:ascii="Bookman Old Style" w:hAnsi="Bookman Old Style"/>
          <w:spacing w:val="4"/>
          <w:sz w:val="22"/>
          <w:szCs w:val="22"/>
        </w:rPr>
        <w:footnoteReference w:id="34"/>
      </w:r>
      <w:r w:rsidRPr="006A7674">
        <w:rPr>
          <w:rFonts w:ascii="Bookman Old Style" w:hAnsi="Bookman Old Style"/>
          <w:spacing w:val="4"/>
          <w:sz w:val="22"/>
          <w:szCs w:val="22"/>
        </w:rPr>
        <w:t>, in cui è parte il Comune impositore</w:t>
      </w:r>
      <w:r w:rsidR="00DF1444">
        <w:rPr>
          <w:rStyle w:val="Rimandonotaapidipagina"/>
          <w:rFonts w:ascii="Bookman Old Style" w:hAnsi="Bookman Old Style"/>
          <w:spacing w:val="4"/>
          <w:sz w:val="22"/>
          <w:szCs w:val="22"/>
        </w:rPr>
        <w:footnoteReference w:id="35"/>
      </w:r>
      <w:r w:rsidRPr="006A7674">
        <w:rPr>
          <w:rFonts w:ascii="Bookman Old Style" w:hAnsi="Bookman Old Style"/>
          <w:spacing w:val="4"/>
          <w:sz w:val="22"/>
          <w:szCs w:val="22"/>
        </w:rPr>
        <w:t xml:space="preserve">, possono essere definite, entro il </w:t>
      </w:r>
      <w:r w:rsidR="00DF1444">
        <w:rPr>
          <w:rFonts w:ascii="Bookman Old Style" w:hAnsi="Bookman Old Style"/>
          <w:color w:val="FF0000"/>
          <w:spacing w:val="4"/>
          <w:sz w:val="22"/>
          <w:szCs w:val="22"/>
        </w:rPr>
        <w:t>……</w:t>
      </w:r>
      <w:proofErr w:type="gramStart"/>
      <w:r w:rsidR="00DF1444">
        <w:rPr>
          <w:rFonts w:ascii="Bookman Old Style" w:hAnsi="Bookman Old Style"/>
          <w:color w:val="FF0000"/>
          <w:spacing w:val="4"/>
          <w:sz w:val="22"/>
          <w:szCs w:val="22"/>
        </w:rPr>
        <w:t>…….</w:t>
      </w:r>
      <w:proofErr w:type="gramEnd"/>
      <w:r w:rsidR="00DF1444">
        <w:rPr>
          <w:rFonts w:ascii="Bookman Old Style" w:hAnsi="Bookman Old Style"/>
          <w:color w:val="FF0000"/>
          <w:spacing w:val="4"/>
          <w:sz w:val="22"/>
          <w:szCs w:val="22"/>
        </w:rPr>
        <w:t>.</w:t>
      </w:r>
      <w:r w:rsidRPr="006A7674">
        <w:rPr>
          <w:rFonts w:ascii="Bookman Old Style" w:hAnsi="Bookman Old Style"/>
          <w:spacing w:val="4"/>
          <w:sz w:val="22"/>
          <w:szCs w:val="22"/>
        </w:rPr>
        <w:t>, con l'accordo conciliativo di cui all'articolo 48 del decreto legislativo 31 dicembre 1992, n. 546</w:t>
      </w:r>
      <w:r>
        <w:rPr>
          <w:rStyle w:val="Rimandonotaapidipagina"/>
          <w:rFonts w:ascii="Bookman Old Style" w:hAnsi="Bookman Old Style"/>
          <w:spacing w:val="4"/>
          <w:sz w:val="22"/>
          <w:szCs w:val="22"/>
        </w:rPr>
        <w:footnoteReference w:id="36"/>
      </w:r>
      <w:r w:rsidRPr="006A7674">
        <w:rPr>
          <w:rFonts w:ascii="Bookman Old Style" w:hAnsi="Bookman Old Style"/>
          <w:spacing w:val="4"/>
          <w:sz w:val="22"/>
          <w:szCs w:val="22"/>
        </w:rPr>
        <w:t>.</w:t>
      </w:r>
    </w:p>
    <w:p w14:paraId="43169BC5" w14:textId="2A2529E4"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lastRenderedPageBreak/>
        <w:t>2. All’accordo conciliativo di cui al comma 1 si applicano le sanzioni ridotte a un diciottesimo del minimo previsto dalla legge, gli interessi e gli eventuali accessori</w:t>
      </w:r>
      <w:r w:rsidRPr="006A7674">
        <w:rPr>
          <w:rStyle w:val="Rimandonotaapidipagina"/>
          <w:rFonts w:ascii="Bookman Old Style" w:hAnsi="Bookman Old Style"/>
          <w:spacing w:val="4"/>
          <w:sz w:val="22"/>
          <w:szCs w:val="22"/>
        </w:rPr>
        <w:footnoteReference w:id="37"/>
      </w:r>
      <w:r w:rsidR="00E249AE">
        <w:rPr>
          <w:rFonts w:ascii="Bookman Old Style" w:hAnsi="Bookman Old Style"/>
          <w:spacing w:val="4"/>
          <w:sz w:val="22"/>
          <w:szCs w:val="22"/>
        </w:rPr>
        <w:t>.</w:t>
      </w:r>
    </w:p>
    <w:p w14:paraId="5562BE4A" w14:textId="77777777" w:rsidR="00313385"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3.</w:t>
      </w:r>
      <w:r w:rsidRPr="006A7674">
        <w:rPr>
          <w:rFonts w:ascii="Bookman Old Style" w:hAnsi="Bookman Old Style"/>
          <w:sz w:val="22"/>
          <w:szCs w:val="22"/>
        </w:rPr>
        <w:t xml:space="preserve"> </w:t>
      </w:r>
      <w:r w:rsidR="00313385">
        <w:rPr>
          <w:rFonts w:ascii="Bookman Old Style" w:hAnsi="Bookman Old Style"/>
          <w:sz w:val="22"/>
          <w:szCs w:val="22"/>
        </w:rPr>
        <w:t xml:space="preserve">Il versamento delle somme dovute è effettuato secondo le disposizioni recate dall’articolo </w:t>
      </w:r>
      <w:r w:rsidRPr="006A7674">
        <w:rPr>
          <w:rFonts w:ascii="Bookman Old Style" w:hAnsi="Bookman Old Style"/>
          <w:spacing w:val="4"/>
          <w:sz w:val="22"/>
          <w:szCs w:val="22"/>
        </w:rPr>
        <w:t>48-ter, commi 2 e 4, del decreto legislativo 31 dicembre 1992, n. 546</w:t>
      </w:r>
      <w:r w:rsidR="00313385">
        <w:rPr>
          <w:rFonts w:ascii="Bookman Old Style" w:hAnsi="Bookman Old Style"/>
          <w:spacing w:val="4"/>
          <w:sz w:val="22"/>
          <w:szCs w:val="22"/>
        </w:rPr>
        <w:t>.</w:t>
      </w:r>
    </w:p>
    <w:p w14:paraId="482B0209" w14:textId="77777777" w:rsidR="00732E3C" w:rsidRDefault="00732E3C" w:rsidP="00732E3C">
      <w:pPr>
        <w:pStyle w:val="testo"/>
        <w:spacing w:after="80" w:line="288" w:lineRule="auto"/>
        <w:rPr>
          <w:rFonts w:ascii="Bookman Old Style" w:hAnsi="Bookman Old Style"/>
          <w:spacing w:val="4"/>
          <w:sz w:val="22"/>
          <w:szCs w:val="22"/>
        </w:rPr>
      </w:pPr>
    </w:p>
    <w:p w14:paraId="34F9F55A" w14:textId="77777777" w:rsidR="00187C51" w:rsidRPr="00D23E66" w:rsidRDefault="00187C51" w:rsidP="00187C51">
      <w:pPr>
        <w:pStyle w:val="Titolo3"/>
        <w:spacing w:after="80" w:line="288" w:lineRule="auto"/>
        <w:jc w:val="left"/>
        <w:rPr>
          <w:rFonts w:ascii="Bookman Old Style" w:hAnsi="Bookman Old Style"/>
          <w:i/>
          <w:sz w:val="22"/>
          <w:szCs w:val="22"/>
        </w:rPr>
      </w:pPr>
      <w:bookmarkStart w:id="31" w:name="_Toc218672119"/>
      <w:r w:rsidRPr="00D23E66">
        <w:rPr>
          <w:rFonts w:ascii="Bookman Old Style" w:hAnsi="Bookman Old Style"/>
          <w:sz w:val="22"/>
          <w:szCs w:val="22"/>
        </w:rPr>
        <w:t xml:space="preserve">Articolo </w:t>
      </w:r>
      <w:r>
        <w:rPr>
          <w:rFonts w:ascii="Bookman Old Style" w:hAnsi="Bookman Old Style"/>
          <w:sz w:val="22"/>
          <w:szCs w:val="22"/>
        </w:rPr>
        <w:t>4</w:t>
      </w:r>
      <w:r w:rsidRPr="00D23E66">
        <w:rPr>
          <w:rFonts w:ascii="Bookman Old Style" w:hAnsi="Bookman Old Style"/>
          <w:sz w:val="22"/>
          <w:szCs w:val="22"/>
        </w:rPr>
        <w:t xml:space="preserve"> – </w:t>
      </w:r>
      <w:r w:rsidRPr="00CC47B6">
        <w:rPr>
          <w:rFonts w:ascii="Bookman Old Style" w:hAnsi="Bookman Old Style"/>
          <w:iCs/>
          <w:sz w:val="22"/>
          <w:szCs w:val="22"/>
        </w:rPr>
        <w:t>Entrata in vigore</w:t>
      </w:r>
      <w:bookmarkEnd w:id="31"/>
    </w:p>
    <w:p w14:paraId="74464E9D" w14:textId="77777777" w:rsidR="00187C51" w:rsidRDefault="00187C51" w:rsidP="00187C51">
      <w:pPr>
        <w:pStyle w:val="testo"/>
        <w:spacing w:after="80" w:line="288" w:lineRule="auto"/>
        <w:rPr>
          <w:rFonts w:ascii="Bookman Old Style" w:hAnsi="Bookman Old Style"/>
          <w:spacing w:val="4"/>
          <w:sz w:val="22"/>
          <w:szCs w:val="22"/>
        </w:rPr>
      </w:pPr>
      <w:r w:rsidRPr="00D23E66">
        <w:rPr>
          <w:rFonts w:ascii="Bookman Old Style" w:hAnsi="Bookman Old Style"/>
          <w:spacing w:val="4"/>
          <w:sz w:val="22"/>
          <w:szCs w:val="22"/>
        </w:rPr>
        <w:t>1. Il presente regolamento entra in vigore lo stesso giorno della sua approvazione</w:t>
      </w:r>
      <w:r w:rsidRPr="00D23E66">
        <w:rPr>
          <w:rStyle w:val="Rimandonotaapidipagina"/>
          <w:rFonts w:ascii="Bookman Old Style" w:hAnsi="Bookman Old Style"/>
          <w:spacing w:val="4"/>
          <w:sz w:val="22"/>
          <w:szCs w:val="22"/>
        </w:rPr>
        <w:footnoteReference w:id="38"/>
      </w:r>
      <w:r w:rsidRPr="00D23E66">
        <w:rPr>
          <w:rFonts w:ascii="Bookman Old Style" w:hAnsi="Bookman Old Style"/>
          <w:spacing w:val="4"/>
          <w:sz w:val="22"/>
          <w:szCs w:val="22"/>
        </w:rPr>
        <w:t>.</w:t>
      </w:r>
    </w:p>
    <w:p w14:paraId="4842E3D5" w14:textId="77777777" w:rsidR="00187C51" w:rsidRDefault="00187C51" w:rsidP="00732E3C">
      <w:pPr>
        <w:pStyle w:val="testo"/>
        <w:spacing w:after="80" w:line="288" w:lineRule="auto"/>
        <w:rPr>
          <w:rFonts w:ascii="Bookman Old Style" w:hAnsi="Bookman Old Style"/>
          <w:spacing w:val="4"/>
          <w:sz w:val="22"/>
          <w:szCs w:val="22"/>
        </w:rPr>
      </w:pPr>
    </w:p>
    <w:p w14:paraId="492B3387" w14:textId="77777777" w:rsidR="00187C51" w:rsidRDefault="00187C51" w:rsidP="00732E3C">
      <w:pPr>
        <w:pStyle w:val="testo"/>
        <w:spacing w:after="80" w:line="288" w:lineRule="auto"/>
        <w:rPr>
          <w:rFonts w:ascii="Bookman Old Style" w:hAnsi="Bookman Old Style"/>
          <w:spacing w:val="4"/>
          <w:sz w:val="22"/>
          <w:szCs w:val="22"/>
        </w:rPr>
      </w:pPr>
    </w:p>
    <w:p w14:paraId="19649105" w14:textId="77777777" w:rsidR="00187C51" w:rsidRDefault="00187C51" w:rsidP="00732E3C">
      <w:pPr>
        <w:pStyle w:val="testo"/>
        <w:spacing w:after="80" w:line="288" w:lineRule="auto"/>
        <w:rPr>
          <w:rFonts w:ascii="Bookman Old Style" w:hAnsi="Bookman Old Style"/>
          <w:spacing w:val="4"/>
          <w:sz w:val="22"/>
          <w:szCs w:val="22"/>
        </w:rPr>
      </w:pPr>
    </w:p>
    <w:p w14:paraId="421C3187" w14:textId="77777777" w:rsidR="00187C51" w:rsidRPr="006A7674" w:rsidRDefault="00187C51" w:rsidP="00732E3C">
      <w:pPr>
        <w:pStyle w:val="testo"/>
        <w:spacing w:after="80" w:line="288" w:lineRule="auto"/>
        <w:rPr>
          <w:rFonts w:ascii="Bookman Old Style" w:hAnsi="Bookman Old Style"/>
          <w:spacing w:val="4"/>
          <w:sz w:val="22"/>
          <w:szCs w:val="22"/>
        </w:rPr>
      </w:pPr>
    </w:p>
    <w:p w14:paraId="4EA4D12C" w14:textId="77777777" w:rsidR="00732E3C" w:rsidRDefault="00A73A50" w:rsidP="00732E3C">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br w:type="page"/>
      </w:r>
    </w:p>
    <w:p w14:paraId="23F9699D" w14:textId="77777777" w:rsidR="00732E3C" w:rsidRDefault="00732E3C" w:rsidP="00732E3C">
      <w:pPr>
        <w:pStyle w:val="testo"/>
        <w:spacing w:after="80" w:line="288" w:lineRule="auto"/>
        <w:rPr>
          <w:rFonts w:ascii="Bookman Old Style" w:hAnsi="Bookman Old Style"/>
          <w:spacing w:val="4"/>
          <w:sz w:val="22"/>
          <w:szCs w:val="22"/>
        </w:rPr>
      </w:pPr>
    </w:p>
    <w:p w14:paraId="325583B4" w14:textId="77777777" w:rsidR="0001465E" w:rsidRDefault="0001465E" w:rsidP="0001465E">
      <w:pPr>
        <w:pStyle w:val="Titolo3"/>
        <w:spacing w:after="120" w:line="288" w:lineRule="auto"/>
        <w:rPr>
          <w:rFonts w:ascii="Bookman Old Style" w:hAnsi="Bookman Old Style"/>
        </w:rPr>
      </w:pPr>
      <w:bookmarkStart w:id="32" w:name="_Toc218672120"/>
      <w:r>
        <w:rPr>
          <w:rFonts w:ascii="Bookman Old Style" w:hAnsi="Bookman Old Style"/>
        </w:rPr>
        <w:t>PARTE I</w:t>
      </w:r>
      <w:r w:rsidR="000B4F72">
        <w:rPr>
          <w:rFonts w:ascii="Bookman Old Style" w:hAnsi="Bookman Old Style"/>
        </w:rPr>
        <w:t>V</w:t>
      </w:r>
      <w:r>
        <w:rPr>
          <w:rFonts w:ascii="Bookman Old Style" w:hAnsi="Bookman Old Style"/>
        </w:rPr>
        <w:t xml:space="preserve">- </w:t>
      </w:r>
      <w:r w:rsidRPr="006A7674">
        <w:rPr>
          <w:rFonts w:ascii="Bookman Old Style" w:hAnsi="Bookman Old Style"/>
          <w:sz w:val="22"/>
          <w:szCs w:val="22"/>
        </w:rPr>
        <w:t>REGOLARIZZAZIONE OMESSI VERSAMENTI RATEALI</w:t>
      </w:r>
      <w:bookmarkEnd w:id="32"/>
    </w:p>
    <w:p w14:paraId="15AA57CD" w14:textId="77777777" w:rsidR="00732E3C" w:rsidRDefault="00732E3C" w:rsidP="00732E3C">
      <w:pPr>
        <w:pStyle w:val="testo"/>
        <w:spacing w:after="80" w:line="288" w:lineRule="auto"/>
        <w:rPr>
          <w:rFonts w:ascii="Bookman Old Style" w:hAnsi="Bookman Old Style"/>
          <w:spacing w:val="4"/>
          <w:sz w:val="22"/>
          <w:szCs w:val="22"/>
        </w:rPr>
      </w:pPr>
    </w:p>
    <w:p w14:paraId="42F70AEB" w14:textId="77777777" w:rsidR="000B4F72" w:rsidRPr="00D23E66" w:rsidRDefault="000B4F72" w:rsidP="000B4F72">
      <w:pPr>
        <w:pStyle w:val="Titolo3"/>
        <w:spacing w:after="120" w:line="288" w:lineRule="auto"/>
        <w:jc w:val="both"/>
        <w:rPr>
          <w:rFonts w:ascii="Bookman Old Style" w:hAnsi="Bookman Old Style"/>
          <w:i/>
          <w:sz w:val="22"/>
          <w:szCs w:val="22"/>
        </w:rPr>
      </w:pPr>
      <w:bookmarkStart w:id="33" w:name="_Toc218672121"/>
      <w:r w:rsidRPr="00D23E66">
        <w:rPr>
          <w:rFonts w:ascii="Bookman Old Style" w:hAnsi="Bookman Old Style"/>
          <w:sz w:val="22"/>
          <w:szCs w:val="22"/>
        </w:rPr>
        <w:t xml:space="preserve">Articolo 1 - </w:t>
      </w:r>
      <w:r w:rsidRPr="00CC47B6">
        <w:rPr>
          <w:rFonts w:ascii="Bookman Old Style" w:hAnsi="Bookman Old Style"/>
          <w:iCs/>
          <w:sz w:val="22"/>
          <w:szCs w:val="22"/>
        </w:rPr>
        <w:t>Oggetto del Regolamento</w:t>
      </w:r>
      <w:bookmarkEnd w:id="33"/>
      <w:r w:rsidRPr="00D23E66">
        <w:rPr>
          <w:rFonts w:ascii="Bookman Old Style" w:hAnsi="Bookman Old Style"/>
          <w:i/>
          <w:sz w:val="22"/>
          <w:szCs w:val="22"/>
        </w:rPr>
        <w:t xml:space="preserve"> </w:t>
      </w:r>
    </w:p>
    <w:p w14:paraId="1A6AC319" w14:textId="77777777" w:rsidR="000B4F72" w:rsidRDefault="000B4F72" w:rsidP="000B4F72">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Il presente regolamento adottato nell'ambito della potestà prevista dall’articolo 52 del decreto legislativo 15 dicembre 1997, n. 446 ed in attuazione dell’articolo </w:t>
      </w:r>
      <w:r>
        <w:rPr>
          <w:rFonts w:ascii="Bookman Old Style" w:hAnsi="Bookman Old Style"/>
          <w:sz w:val="22"/>
          <w:szCs w:val="22"/>
        </w:rPr>
        <w:t>1, commi da 102 a 110 della legge 30 dicembre 2025, n. 199</w:t>
      </w:r>
      <w:r w:rsidRPr="00D23E66">
        <w:rPr>
          <w:rFonts w:ascii="Bookman Old Style" w:hAnsi="Bookman Old Style"/>
          <w:sz w:val="22"/>
          <w:szCs w:val="22"/>
        </w:rPr>
        <w:t>, disciplina la definizione agevolata de</w:t>
      </w:r>
      <w:r>
        <w:rPr>
          <w:rFonts w:ascii="Bookman Old Style" w:hAnsi="Bookman Old Style"/>
          <w:sz w:val="22"/>
          <w:szCs w:val="22"/>
        </w:rPr>
        <w:t>gli omessi versamenti rateali alla data del 1° gennaio 2026.</w:t>
      </w:r>
    </w:p>
    <w:p w14:paraId="0CCB54E0" w14:textId="77777777" w:rsidR="000B4F72" w:rsidRPr="006A7674" w:rsidRDefault="000B4F72" w:rsidP="000B4F72">
      <w:pPr>
        <w:pStyle w:val="Rientrocorpodeltesto"/>
        <w:spacing w:after="80" w:line="288" w:lineRule="auto"/>
        <w:rPr>
          <w:rFonts w:ascii="Bookman Old Style" w:hAnsi="Bookman Old Style"/>
          <w:sz w:val="22"/>
          <w:szCs w:val="22"/>
        </w:rPr>
      </w:pPr>
    </w:p>
    <w:p w14:paraId="6F83D117" w14:textId="77777777" w:rsidR="000B4F72" w:rsidRPr="006A7674" w:rsidRDefault="000B4F72" w:rsidP="000B4F72">
      <w:pPr>
        <w:pStyle w:val="Titolo3"/>
        <w:spacing w:after="80" w:line="288" w:lineRule="auto"/>
        <w:jc w:val="left"/>
        <w:rPr>
          <w:rFonts w:ascii="Bookman Old Style" w:hAnsi="Bookman Old Style"/>
          <w:sz w:val="22"/>
          <w:szCs w:val="22"/>
        </w:rPr>
      </w:pPr>
      <w:bookmarkStart w:id="34" w:name="_Toc218672122"/>
      <w:r w:rsidRPr="006A7674">
        <w:rPr>
          <w:rFonts w:ascii="Bookman Old Style" w:hAnsi="Bookman Old Style"/>
          <w:sz w:val="22"/>
          <w:szCs w:val="22"/>
        </w:rPr>
        <w:t>Articolo 2 – Oggetto della definizione agevolata</w:t>
      </w:r>
      <w:bookmarkEnd w:id="34"/>
      <w:r w:rsidRPr="006A7674">
        <w:rPr>
          <w:rFonts w:ascii="Bookman Old Style" w:hAnsi="Bookman Old Style"/>
          <w:sz w:val="22"/>
          <w:szCs w:val="22"/>
        </w:rPr>
        <w:t xml:space="preserve"> </w:t>
      </w:r>
    </w:p>
    <w:p w14:paraId="2EF956A5" w14:textId="40EB1F8E"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1. Con riferimento ai tributi comunali</w:t>
      </w:r>
      <w:r w:rsidR="00185133">
        <w:rPr>
          <w:rStyle w:val="Rimandonotaapidipagina"/>
          <w:rFonts w:ascii="Bookman Old Style" w:hAnsi="Bookman Old Style"/>
          <w:spacing w:val="4"/>
          <w:sz w:val="22"/>
          <w:szCs w:val="22"/>
        </w:rPr>
        <w:footnoteReference w:id="39"/>
      </w:r>
      <w:r w:rsidR="00AC7D64">
        <w:rPr>
          <w:rFonts w:ascii="Bookman Old Style" w:hAnsi="Bookman Old Style"/>
          <w:spacing w:val="4"/>
          <w:sz w:val="22"/>
          <w:szCs w:val="22"/>
        </w:rPr>
        <w:t xml:space="preserve"> </w:t>
      </w:r>
      <w:r w:rsidR="00AC7D64" w:rsidRPr="004A4747">
        <w:rPr>
          <w:rFonts w:ascii="Bookman Old Style" w:hAnsi="Bookman Old Style"/>
          <w:i/>
          <w:iCs/>
          <w:spacing w:val="4"/>
          <w:sz w:val="22"/>
          <w:szCs w:val="22"/>
        </w:rPr>
        <w:t>(e/o alle entrate patrimoniali)</w:t>
      </w:r>
      <w:r w:rsidRPr="006A7674">
        <w:rPr>
          <w:rFonts w:ascii="Bookman Old Style" w:hAnsi="Bookman Old Style"/>
          <w:spacing w:val="4"/>
          <w:sz w:val="22"/>
          <w:szCs w:val="22"/>
        </w:rPr>
        <w:t>,</w:t>
      </w:r>
      <w:r w:rsidR="00AC7D64">
        <w:rPr>
          <w:rFonts w:ascii="Bookman Old Style" w:hAnsi="Bookman Old Style"/>
          <w:spacing w:val="4"/>
          <w:sz w:val="22"/>
          <w:szCs w:val="22"/>
        </w:rPr>
        <w:t xml:space="preserve"> sui quali sono attivate rateizzazioni,</w:t>
      </w:r>
      <w:r w:rsidRPr="006A7674">
        <w:rPr>
          <w:rFonts w:ascii="Bookman Old Style" w:hAnsi="Bookman Old Style"/>
          <w:spacing w:val="4"/>
          <w:sz w:val="22"/>
          <w:szCs w:val="22"/>
        </w:rPr>
        <w:t xml:space="preserve"> è possibile regolarizzare l'omesso o carente versamento delle rate successive alla prima, scadute alla data del 1° gennaio 202</w:t>
      </w:r>
      <w:r w:rsidR="000B4F72">
        <w:rPr>
          <w:rFonts w:ascii="Bookman Old Style" w:hAnsi="Bookman Old Style"/>
          <w:spacing w:val="4"/>
          <w:sz w:val="22"/>
          <w:szCs w:val="22"/>
        </w:rPr>
        <w:t>6</w:t>
      </w:r>
      <w:r w:rsidRPr="006A7674">
        <w:rPr>
          <w:rFonts w:ascii="Bookman Old Style" w:hAnsi="Bookman Old Style"/>
          <w:spacing w:val="4"/>
          <w:sz w:val="22"/>
          <w:szCs w:val="22"/>
        </w:rPr>
        <w:t>, dovute a seguito di rateazione di:</w:t>
      </w:r>
    </w:p>
    <w:p w14:paraId="2E7DB203" w14:textId="77777777" w:rsidR="00732E3C" w:rsidRPr="006A7674" w:rsidRDefault="00732E3C" w:rsidP="00732E3C">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accertamento con adesione;</w:t>
      </w:r>
    </w:p>
    <w:p w14:paraId="2722EE2A" w14:textId="77777777" w:rsidR="00732E3C" w:rsidRPr="006A7674" w:rsidRDefault="00732E3C" w:rsidP="00732E3C">
      <w:pPr>
        <w:pStyle w:val="testo"/>
        <w:numPr>
          <w:ilvl w:val="0"/>
          <w:numId w:val="1"/>
        </w:numPr>
        <w:spacing w:after="80" w:line="288" w:lineRule="auto"/>
        <w:rPr>
          <w:rFonts w:ascii="Bookman Old Style" w:hAnsi="Bookman Old Style"/>
          <w:spacing w:val="4"/>
          <w:sz w:val="22"/>
          <w:szCs w:val="22"/>
        </w:rPr>
      </w:pPr>
      <w:r>
        <w:rPr>
          <w:rFonts w:ascii="Bookman Old Style" w:hAnsi="Bookman Old Style"/>
          <w:spacing w:val="4"/>
          <w:sz w:val="22"/>
          <w:szCs w:val="22"/>
        </w:rPr>
        <w:t xml:space="preserve">acquiescenza ad </w:t>
      </w:r>
      <w:r w:rsidRPr="006A7674">
        <w:rPr>
          <w:rFonts w:ascii="Bookman Old Style" w:hAnsi="Bookman Old Style"/>
          <w:spacing w:val="4"/>
          <w:sz w:val="22"/>
          <w:szCs w:val="22"/>
        </w:rPr>
        <w:t>accertamento tributario emesso entro il 31 dicembre 2019;</w:t>
      </w:r>
    </w:p>
    <w:p w14:paraId="02178945" w14:textId="77777777" w:rsidR="00732E3C" w:rsidRPr="006A7674" w:rsidRDefault="00732E3C" w:rsidP="00732E3C">
      <w:pPr>
        <w:pStyle w:val="testo"/>
        <w:numPr>
          <w:ilvl w:val="0"/>
          <w:numId w:val="1"/>
        </w:numPr>
        <w:spacing w:after="80" w:line="288" w:lineRule="auto"/>
        <w:rPr>
          <w:rFonts w:ascii="Bookman Old Style" w:hAnsi="Bookman Old Style"/>
          <w:spacing w:val="4"/>
          <w:sz w:val="22"/>
          <w:szCs w:val="22"/>
        </w:rPr>
      </w:pPr>
      <w:r>
        <w:rPr>
          <w:rFonts w:ascii="Bookman Old Style" w:hAnsi="Bookman Old Style"/>
          <w:spacing w:val="4"/>
          <w:sz w:val="22"/>
          <w:szCs w:val="22"/>
        </w:rPr>
        <w:t xml:space="preserve">acquiescenza ad </w:t>
      </w:r>
      <w:r w:rsidRPr="006A7674">
        <w:rPr>
          <w:rFonts w:ascii="Bookman Old Style" w:hAnsi="Bookman Old Style"/>
          <w:spacing w:val="4"/>
          <w:sz w:val="22"/>
          <w:szCs w:val="22"/>
        </w:rPr>
        <w:t>accertamento esecutivo</w:t>
      </w:r>
      <w:r w:rsidRPr="006A7674">
        <w:rPr>
          <w:rStyle w:val="Rimandonotaapidipagina"/>
          <w:rFonts w:ascii="Bookman Old Style" w:hAnsi="Bookman Old Style"/>
          <w:spacing w:val="4"/>
          <w:sz w:val="22"/>
          <w:szCs w:val="22"/>
        </w:rPr>
        <w:footnoteReference w:id="40"/>
      </w:r>
      <w:r w:rsidRPr="006A7674">
        <w:rPr>
          <w:rFonts w:ascii="Bookman Old Style" w:hAnsi="Bookman Old Style"/>
          <w:spacing w:val="4"/>
          <w:sz w:val="22"/>
          <w:szCs w:val="22"/>
        </w:rPr>
        <w:t>;</w:t>
      </w:r>
    </w:p>
    <w:p w14:paraId="5BF9BE88" w14:textId="77777777" w:rsidR="00732E3C" w:rsidRPr="006A7674" w:rsidRDefault="00732E3C" w:rsidP="00732E3C">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reclamo o mediazione ai sensi </w:t>
      </w:r>
      <w:r w:rsidR="000B4F72">
        <w:rPr>
          <w:rFonts w:ascii="Bookman Old Style" w:hAnsi="Bookman Old Style"/>
          <w:spacing w:val="4"/>
          <w:sz w:val="22"/>
          <w:szCs w:val="22"/>
        </w:rPr>
        <w:t xml:space="preserve">del soppresso </w:t>
      </w:r>
      <w:r w:rsidRPr="006A7674">
        <w:rPr>
          <w:rFonts w:ascii="Bookman Old Style" w:hAnsi="Bookman Old Style"/>
          <w:spacing w:val="4"/>
          <w:sz w:val="22"/>
          <w:szCs w:val="22"/>
        </w:rPr>
        <w:t>articolo 17-</w:t>
      </w:r>
      <w:r w:rsidRPr="006A7674">
        <w:rPr>
          <w:rFonts w:ascii="Bookman Old Style" w:hAnsi="Bookman Old Style"/>
          <w:i/>
          <w:iCs/>
          <w:spacing w:val="4"/>
          <w:sz w:val="22"/>
          <w:szCs w:val="22"/>
        </w:rPr>
        <w:t>bis</w:t>
      </w:r>
      <w:r w:rsidRPr="006A7674">
        <w:rPr>
          <w:rFonts w:ascii="Bookman Old Style" w:hAnsi="Bookman Old Style"/>
          <w:spacing w:val="4"/>
          <w:sz w:val="22"/>
          <w:szCs w:val="22"/>
        </w:rPr>
        <w:t>, comma 6, del decreto legislativo 31 dicembre 1992, n. 546.</w:t>
      </w:r>
    </w:p>
    <w:p w14:paraId="170F5688" w14:textId="77777777"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2. La regolarizzazione di cui al comma 1 può essere effettuata anche con riferimento agli importi, anche rateali, relativi alle conciliazioni di cui agli articoli 48 e 48-</w:t>
      </w:r>
      <w:r w:rsidRPr="006A7674">
        <w:rPr>
          <w:rFonts w:ascii="Bookman Old Style" w:hAnsi="Bookman Old Style"/>
          <w:i/>
          <w:iCs/>
          <w:spacing w:val="4"/>
          <w:sz w:val="22"/>
          <w:szCs w:val="22"/>
        </w:rPr>
        <w:t>bis</w:t>
      </w:r>
      <w:r w:rsidRPr="006A7674">
        <w:rPr>
          <w:rFonts w:ascii="Bookman Old Style" w:hAnsi="Bookman Old Style"/>
          <w:spacing w:val="4"/>
          <w:sz w:val="22"/>
          <w:szCs w:val="22"/>
        </w:rPr>
        <w:t xml:space="preserve"> del decreto legislativo 31 dicembre 1992, n. 546, scaduti alla data del 1° gennaio 202</w:t>
      </w:r>
      <w:r w:rsidR="000B4F72">
        <w:rPr>
          <w:rFonts w:ascii="Bookman Old Style" w:hAnsi="Bookman Old Style"/>
          <w:spacing w:val="4"/>
          <w:sz w:val="22"/>
          <w:szCs w:val="22"/>
        </w:rPr>
        <w:t>6</w:t>
      </w:r>
      <w:r w:rsidRPr="006A7674">
        <w:rPr>
          <w:rFonts w:ascii="Bookman Old Style" w:hAnsi="Bookman Old Style"/>
          <w:spacing w:val="4"/>
          <w:sz w:val="22"/>
          <w:szCs w:val="22"/>
        </w:rPr>
        <w:t>.</w:t>
      </w:r>
    </w:p>
    <w:p w14:paraId="427751D5" w14:textId="77777777" w:rsidR="00732E3C" w:rsidRPr="006A7674" w:rsidRDefault="00732E3C" w:rsidP="00732E3C">
      <w:pPr>
        <w:pStyle w:val="testo"/>
        <w:spacing w:after="80" w:line="288" w:lineRule="auto"/>
        <w:rPr>
          <w:rFonts w:ascii="Bookman Old Style" w:hAnsi="Bookman Old Style"/>
          <w:spacing w:val="4"/>
          <w:sz w:val="22"/>
          <w:szCs w:val="22"/>
        </w:rPr>
      </w:pPr>
      <w:r w:rsidRPr="003F1A7C">
        <w:rPr>
          <w:rFonts w:ascii="Bookman Old Style" w:hAnsi="Bookman Old Style"/>
          <w:spacing w:val="4"/>
          <w:sz w:val="22"/>
          <w:szCs w:val="22"/>
        </w:rPr>
        <w:t>3. La regolarizzazione di cui ai commi 1 e 2 avviene mediante il versamento integrale della sola imposta ed a condizione che non sia stata ancora notificata, alla data di pagamento della prima rata, la cartella di pagamento/ingiunzione ovvero l’atto di intimazione</w:t>
      </w:r>
      <w:r w:rsidRPr="003F1A7C">
        <w:rPr>
          <w:rStyle w:val="Rimandonotaapidipagina"/>
          <w:rFonts w:ascii="Bookman Old Style" w:hAnsi="Bookman Old Style"/>
          <w:spacing w:val="4"/>
          <w:sz w:val="22"/>
          <w:szCs w:val="22"/>
        </w:rPr>
        <w:footnoteReference w:id="41"/>
      </w:r>
      <w:r w:rsidRPr="003F1A7C">
        <w:rPr>
          <w:rFonts w:ascii="Bookman Old Style" w:hAnsi="Bookman Old Style"/>
          <w:spacing w:val="4"/>
          <w:sz w:val="22"/>
          <w:szCs w:val="22"/>
        </w:rPr>
        <w:t>.</w:t>
      </w:r>
    </w:p>
    <w:p w14:paraId="768B3B95" w14:textId="77777777" w:rsidR="00732E3C" w:rsidRPr="006A7674" w:rsidRDefault="00732E3C" w:rsidP="00732E3C">
      <w:pPr>
        <w:pStyle w:val="testo"/>
        <w:spacing w:after="80" w:line="288" w:lineRule="auto"/>
        <w:rPr>
          <w:rFonts w:ascii="Bookman Old Style" w:hAnsi="Bookman Old Style"/>
          <w:spacing w:val="4"/>
          <w:sz w:val="22"/>
          <w:szCs w:val="22"/>
        </w:rPr>
      </w:pPr>
    </w:p>
    <w:p w14:paraId="5679AFD9" w14:textId="77777777" w:rsidR="00732E3C" w:rsidRPr="006A7674" w:rsidRDefault="00732E3C" w:rsidP="00732E3C">
      <w:pPr>
        <w:pStyle w:val="Titolo3"/>
        <w:spacing w:after="80" w:line="288" w:lineRule="auto"/>
        <w:jc w:val="left"/>
        <w:rPr>
          <w:rFonts w:ascii="Bookman Old Style" w:hAnsi="Bookman Old Style"/>
          <w:i/>
          <w:sz w:val="22"/>
          <w:szCs w:val="22"/>
        </w:rPr>
      </w:pPr>
      <w:bookmarkStart w:id="35" w:name="_Toc128489468"/>
      <w:bookmarkStart w:id="36" w:name="_Toc218672123"/>
      <w:r w:rsidRPr="006A7674">
        <w:rPr>
          <w:rFonts w:ascii="Bookman Old Style" w:hAnsi="Bookman Old Style"/>
          <w:sz w:val="22"/>
          <w:szCs w:val="22"/>
        </w:rPr>
        <w:t xml:space="preserve">Articolo </w:t>
      </w:r>
      <w:r w:rsidR="00114730">
        <w:rPr>
          <w:rFonts w:ascii="Bookman Old Style" w:hAnsi="Bookman Old Style"/>
          <w:sz w:val="22"/>
          <w:szCs w:val="22"/>
        </w:rPr>
        <w:t>3</w:t>
      </w:r>
      <w:r w:rsidRPr="006A7674">
        <w:rPr>
          <w:rFonts w:ascii="Bookman Old Style" w:hAnsi="Bookman Old Style"/>
          <w:sz w:val="22"/>
          <w:szCs w:val="22"/>
        </w:rPr>
        <w:t xml:space="preserve"> – Perfezionamento della regolarizzazione</w:t>
      </w:r>
      <w:bookmarkEnd w:id="35"/>
      <w:bookmarkEnd w:id="36"/>
    </w:p>
    <w:p w14:paraId="155C0741" w14:textId="7A71CC6F" w:rsidR="00732E3C" w:rsidRPr="006A7674" w:rsidRDefault="00732E3C" w:rsidP="00732E3C">
      <w:pPr>
        <w:pStyle w:val="testo"/>
        <w:spacing w:after="80" w:line="288" w:lineRule="auto"/>
        <w:rPr>
          <w:rFonts w:ascii="Bookman Old Style" w:hAnsi="Bookman Old Style"/>
          <w:spacing w:val="4"/>
          <w:sz w:val="22"/>
          <w:szCs w:val="22"/>
        </w:rPr>
      </w:pPr>
      <w:r w:rsidRPr="00980667">
        <w:rPr>
          <w:rFonts w:ascii="Bookman Old Style" w:hAnsi="Bookman Old Style"/>
          <w:spacing w:val="4"/>
          <w:sz w:val="22"/>
          <w:szCs w:val="22"/>
        </w:rPr>
        <w:t xml:space="preserve">1. La regolarizzazione di cui all’articolo </w:t>
      </w:r>
      <w:r w:rsidR="00B36DED">
        <w:rPr>
          <w:rFonts w:ascii="Bookman Old Style" w:hAnsi="Bookman Old Style"/>
          <w:spacing w:val="4"/>
          <w:sz w:val="22"/>
          <w:szCs w:val="22"/>
        </w:rPr>
        <w:t>2</w:t>
      </w:r>
      <w:r w:rsidRPr="00980667">
        <w:rPr>
          <w:rFonts w:ascii="Bookman Old Style" w:hAnsi="Bookman Old Style"/>
          <w:spacing w:val="4"/>
          <w:sz w:val="22"/>
          <w:szCs w:val="22"/>
        </w:rPr>
        <w:t xml:space="preserve"> si perfeziona con l'integrale versamento di quanto dovuto entro il </w:t>
      </w:r>
      <w:r w:rsidR="00B36DED">
        <w:rPr>
          <w:rFonts w:ascii="Bookman Old Style" w:hAnsi="Bookman Old Style"/>
          <w:color w:val="FF0000"/>
          <w:spacing w:val="4"/>
          <w:sz w:val="22"/>
          <w:szCs w:val="22"/>
        </w:rPr>
        <w:t>………………</w:t>
      </w:r>
      <w:r w:rsidRPr="00980667">
        <w:rPr>
          <w:rFonts w:ascii="Bookman Old Style" w:hAnsi="Bookman Old Style"/>
          <w:spacing w:val="4"/>
          <w:sz w:val="22"/>
          <w:szCs w:val="22"/>
        </w:rPr>
        <w:t xml:space="preserve">, oppure con il versamento di un numero massimo di venti rate </w:t>
      </w:r>
      <w:r w:rsidR="00B36DED">
        <w:rPr>
          <w:rFonts w:ascii="Bookman Old Style" w:hAnsi="Bookman Old Style"/>
          <w:spacing w:val="4"/>
          <w:sz w:val="22"/>
          <w:szCs w:val="22"/>
        </w:rPr>
        <w:t xml:space="preserve">mensili </w:t>
      </w:r>
      <w:r w:rsidRPr="00980667">
        <w:rPr>
          <w:rFonts w:ascii="Bookman Old Style" w:hAnsi="Bookman Old Style"/>
          <w:spacing w:val="4"/>
          <w:sz w:val="22"/>
          <w:szCs w:val="22"/>
        </w:rPr>
        <w:t xml:space="preserve">di pari importo con scadenza della prima rata il </w:t>
      </w:r>
      <w:r w:rsidR="00B36DED">
        <w:rPr>
          <w:rFonts w:ascii="Bookman Old Style" w:hAnsi="Bookman Old Style"/>
          <w:color w:val="FF0000"/>
          <w:spacing w:val="4"/>
          <w:sz w:val="22"/>
          <w:szCs w:val="22"/>
        </w:rPr>
        <w:t>………………</w:t>
      </w:r>
      <w:r w:rsidRPr="00980667">
        <w:rPr>
          <w:rFonts w:ascii="Bookman Old Style" w:hAnsi="Bookman Old Style"/>
          <w:spacing w:val="4"/>
          <w:sz w:val="22"/>
          <w:szCs w:val="22"/>
        </w:rPr>
        <w:t xml:space="preserve">. Sull'importo delle rate successive alla prima, con scadenza il 30 giugno, il 30 settembre, il 20 dicembre e il 31 marzo di ciascun anno, sono dovuti gli interessi legali </w:t>
      </w:r>
      <w:r w:rsidR="00B36DED">
        <w:rPr>
          <w:rFonts w:ascii="Bookman Old Style" w:hAnsi="Bookman Old Style"/>
          <w:spacing w:val="4"/>
          <w:sz w:val="22"/>
          <w:szCs w:val="22"/>
        </w:rPr>
        <w:t xml:space="preserve">maggiorati di due punti percentuali </w:t>
      </w:r>
      <w:r w:rsidR="00B36DED" w:rsidRPr="00980667">
        <w:rPr>
          <w:rFonts w:ascii="Bookman Old Style" w:hAnsi="Bookman Old Style"/>
          <w:spacing w:val="4"/>
          <w:sz w:val="22"/>
          <w:szCs w:val="22"/>
        </w:rPr>
        <w:t xml:space="preserve">calcolati </w:t>
      </w:r>
      <w:r w:rsidRPr="00980667">
        <w:rPr>
          <w:rFonts w:ascii="Bookman Old Style" w:hAnsi="Bookman Old Style"/>
          <w:spacing w:val="4"/>
          <w:sz w:val="22"/>
          <w:szCs w:val="22"/>
        </w:rPr>
        <w:t xml:space="preserve">dal giorno successivo al termine per il versamento </w:t>
      </w:r>
      <w:r w:rsidRPr="00980667">
        <w:rPr>
          <w:rFonts w:ascii="Bookman Old Style" w:hAnsi="Bookman Old Style"/>
          <w:spacing w:val="4"/>
          <w:sz w:val="22"/>
          <w:szCs w:val="22"/>
        </w:rPr>
        <w:lastRenderedPageBreak/>
        <w:t>della prima rata</w:t>
      </w:r>
      <w:r w:rsidR="007C0F08">
        <w:rPr>
          <w:rStyle w:val="Rimandonotaapidipagina"/>
          <w:rFonts w:ascii="Bookman Old Style" w:hAnsi="Bookman Old Style"/>
          <w:spacing w:val="4"/>
          <w:sz w:val="22"/>
          <w:szCs w:val="22"/>
        </w:rPr>
        <w:footnoteReference w:id="42"/>
      </w:r>
      <w:r w:rsidRPr="00980667">
        <w:rPr>
          <w:rFonts w:ascii="Bookman Old Style" w:hAnsi="Bookman Old Style"/>
          <w:spacing w:val="4"/>
          <w:sz w:val="22"/>
          <w:szCs w:val="22"/>
        </w:rPr>
        <w:t>. Non trova applicazione l’articolo 15-</w:t>
      </w:r>
      <w:r w:rsidRPr="00980667">
        <w:rPr>
          <w:rFonts w:ascii="Bookman Old Style" w:hAnsi="Bookman Old Style"/>
          <w:i/>
          <w:iCs/>
          <w:spacing w:val="4"/>
          <w:sz w:val="22"/>
          <w:szCs w:val="22"/>
        </w:rPr>
        <w:t>ter</w:t>
      </w:r>
      <w:r w:rsidRPr="00980667">
        <w:rPr>
          <w:rFonts w:ascii="Bookman Old Style" w:hAnsi="Bookman Old Style"/>
          <w:spacing w:val="4"/>
          <w:sz w:val="22"/>
          <w:szCs w:val="22"/>
        </w:rPr>
        <w:t>, decreto Presidente della Repubblica 29 settembre 1973, n. 602</w:t>
      </w:r>
      <w:r w:rsidR="00194738">
        <w:rPr>
          <w:rStyle w:val="Rimandonotaapidipagina"/>
          <w:rFonts w:ascii="Bookman Old Style" w:hAnsi="Bookman Old Style"/>
          <w:spacing w:val="4"/>
          <w:sz w:val="22"/>
          <w:szCs w:val="22"/>
        </w:rPr>
        <w:footnoteReference w:id="43"/>
      </w:r>
      <w:r w:rsidRPr="00980667">
        <w:rPr>
          <w:rFonts w:ascii="Bookman Old Style" w:hAnsi="Bookman Old Style"/>
          <w:spacing w:val="4"/>
          <w:sz w:val="22"/>
          <w:szCs w:val="22"/>
        </w:rPr>
        <w:t>.</w:t>
      </w:r>
    </w:p>
    <w:p w14:paraId="068EFFEA" w14:textId="7AA88F0B"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2. In caso di mancato perfezionamento della regolarizzazione, non si producono gli effetti di cui all’articolo </w:t>
      </w:r>
      <w:r w:rsidR="00114730">
        <w:rPr>
          <w:rFonts w:ascii="Bookman Old Style" w:hAnsi="Bookman Old Style"/>
          <w:spacing w:val="4"/>
          <w:sz w:val="22"/>
          <w:szCs w:val="22"/>
        </w:rPr>
        <w:t>2</w:t>
      </w:r>
      <w:r w:rsidRPr="006A7674">
        <w:rPr>
          <w:rFonts w:ascii="Bookman Old Style" w:hAnsi="Bookman Old Style"/>
          <w:spacing w:val="4"/>
          <w:sz w:val="22"/>
          <w:szCs w:val="22"/>
        </w:rPr>
        <w:t>, comma 3</w:t>
      </w:r>
      <w:r>
        <w:rPr>
          <w:rFonts w:ascii="Bookman Old Style" w:hAnsi="Bookman Old Style"/>
          <w:spacing w:val="4"/>
          <w:sz w:val="22"/>
          <w:szCs w:val="22"/>
        </w:rPr>
        <w:t>,</w:t>
      </w:r>
      <w:r w:rsidRPr="006A7674">
        <w:rPr>
          <w:rFonts w:ascii="Bookman Old Style" w:hAnsi="Bookman Old Style"/>
          <w:spacing w:val="4"/>
          <w:sz w:val="22"/>
          <w:szCs w:val="22"/>
        </w:rPr>
        <w:t xml:space="preserve"> e il Comune impositore procede alla riscossione coattiva dei residui importi dovuti a titolo di imposta, interessi e sanzioni, nonché della sanzione di cui all'articolo 13 del decreto legislativo 18 dicembre 1997, n. 471, applicata sul residuo importo dov</w:t>
      </w:r>
      <w:r>
        <w:rPr>
          <w:rFonts w:ascii="Bookman Old Style" w:hAnsi="Bookman Old Style"/>
          <w:spacing w:val="4"/>
          <w:sz w:val="22"/>
          <w:szCs w:val="22"/>
        </w:rPr>
        <w:t>uto a titolo di imposta</w:t>
      </w:r>
      <w:r w:rsidR="00114730">
        <w:rPr>
          <w:rFonts w:ascii="Bookman Old Style" w:hAnsi="Bookman Old Style"/>
          <w:spacing w:val="4"/>
          <w:sz w:val="22"/>
          <w:szCs w:val="22"/>
        </w:rPr>
        <w:t xml:space="preserve">, nei casi in cui trova applicazione </w:t>
      </w:r>
      <w:r w:rsidR="00114730" w:rsidRPr="00980667">
        <w:rPr>
          <w:rFonts w:ascii="Bookman Old Style" w:hAnsi="Bookman Old Style"/>
          <w:spacing w:val="4"/>
          <w:sz w:val="22"/>
          <w:szCs w:val="22"/>
        </w:rPr>
        <w:t>l’articolo 15-</w:t>
      </w:r>
      <w:r w:rsidR="00114730" w:rsidRPr="00980667">
        <w:rPr>
          <w:rFonts w:ascii="Bookman Old Style" w:hAnsi="Bookman Old Style"/>
          <w:i/>
          <w:iCs/>
          <w:spacing w:val="4"/>
          <w:sz w:val="22"/>
          <w:szCs w:val="22"/>
        </w:rPr>
        <w:t>ter</w:t>
      </w:r>
      <w:r w:rsidR="00F478C9" w:rsidRPr="006C1BCD">
        <w:rPr>
          <w:rStyle w:val="Rimandonotaapidipagina"/>
          <w:rFonts w:ascii="Bookman Old Style" w:hAnsi="Bookman Old Style"/>
          <w:spacing w:val="4"/>
          <w:sz w:val="22"/>
          <w:szCs w:val="22"/>
        </w:rPr>
        <w:footnoteReference w:id="44"/>
      </w:r>
      <w:r w:rsidR="00114730" w:rsidRPr="00980667">
        <w:rPr>
          <w:rFonts w:ascii="Bookman Old Style" w:hAnsi="Bookman Old Style"/>
          <w:spacing w:val="4"/>
          <w:sz w:val="22"/>
          <w:szCs w:val="22"/>
        </w:rPr>
        <w:t>, decreto Presidente della Repubblica 29 settembre 1973, n. 602</w:t>
      </w:r>
      <w:r>
        <w:rPr>
          <w:rFonts w:ascii="Bookman Old Style" w:hAnsi="Bookman Old Style"/>
          <w:spacing w:val="4"/>
          <w:sz w:val="22"/>
          <w:szCs w:val="22"/>
        </w:rPr>
        <w:t>. In tale</w:t>
      </w:r>
      <w:r w:rsidRPr="006A7674">
        <w:rPr>
          <w:rFonts w:ascii="Bookman Old Style" w:hAnsi="Bookman Old Style"/>
          <w:spacing w:val="4"/>
          <w:sz w:val="22"/>
          <w:szCs w:val="22"/>
        </w:rPr>
        <w:t xml:space="preserve"> ipotesi</w:t>
      </w:r>
      <w:r>
        <w:rPr>
          <w:rFonts w:ascii="Bookman Old Style" w:hAnsi="Bookman Old Style"/>
          <w:spacing w:val="4"/>
          <w:sz w:val="22"/>
          <w:szCs w:val="22"/>
        </w:rPr>
        <w:t>,</w:t>
      </w:r>
      <w:r w:rsidRPr="006A7674">
        <w:rPr>
          <w:rFonts w:ascii="Bookman Old Style" w:hAnsi="Bookman Old Style"/>
          <w:spacing w:val="4"/>
          <w:sz w:val="22"/>
          <w:szCs w:val="22"/>
        </w:rPr>
        <w:t xml:space="preserve"> il titolo esecutivo o l’intimazione </w:t>
      </w:r>
      <w:r w:rsidR="004418A7" w:rsidRPr="006A7674">
        <w:rPr>
          <w:rFonts w:ascii="Bookman Old Style" w:hAnsi="Bookman Old Style"/>
          <w:spacing w:val="4"/>
          <w:sz w:val="22"/>
          <w:szCs w:val="22"/>
        </w:rPr>
        <w:t>a</w:t>
      </w:r>
      <w:r w:rsidRPr="006A7674">
        <w:rPr>
          <w:rFonts w:ascii="Bookman Old Style" w:hAnsi="Bookman Old Style"/>
          <w:spacing w:val="4"/>
          <w:sz w:val="22"/>
          <w:szCs w:val="22"/>
        </w:rPr>
        <w:t xml:space="preserve"> adempiere devono essere notificati entro il termine di decadenza del 31 dicembre del terzo anno successivo a quello </w:t>
      </w:r>
      <w:r w:rsidR="00E01DAB">
        <w:rPr>
          <w:rFonts w:ascii="Bookman Old Style" w:hAnsi="Bookman Old Style"/>
          <w:spacing w:val="4"/>
          <w:sz w:val="22"/>
          <w:szCs w:val="22"/>
        </w:rPr>
        <w:t xml:space="preserve">di scadenza dell’ultima rata del piano dei pagamenti. </w:t>
      </w:r>
      <w:r w:rsidRPr="006A7674">
        <w:rPr>
          <w:rStyle w:val="Rimandonotaapidipagina"/>
          <w:rFonts w:ascii="Bookman Old Style" w:hAnsi="Bookman Old Style"/>
          <w:spacing w:val="4"/>
          <w:sz w:val="22"/>
          <w:szCs w:val="22"/>
        </w:rPr>
        <w:footnoteReference w:id="45"/>
      </w:r>
    </w:p>
    <w:p w14:paraId="36FC696F" w14:textId="77777777" w:rsidR="00732E3C" w:rsidRPr="006A7674" w:rsidRDefault="00732E3C" w:rsidP="00732E3C">
      <w:pPr>
        <w:pStyle w:val="testo"/>
        <w:spacing w:after="80" w:line="288" w:lineRule="auto"/>
        <w:rPr>
          <w:rFonts w:ascii="Bookman Old Style" w:hAnsi="Bookman Old Style"/>
          <w:spacing w:val="4"/>
          <w:sz w:val="22"/>
          <w:szCs w:val="22"/>
        </w:rPr>
      </w:pPr>
    </w:p>
    <w:p w14:paraId="0C658E5C" w14:textId="77777777" w:rsidR="00732E3C" w:rsidRPr="00CC47B6" w:rsidRDefault="00732E3C" w:rsidP="00732E3C">
      <w:pPr>
        <w:pStyle w:val="Titolo3"/>
        <w:spacing w:after="80" w:line="288" w:lineRule="auto"/>
        <w:jc w:val="left"/>
        <w:rPr>
          <w:rFonts w:ascii="Bookman Old Style" w:hAnsi="Bookman Old Style"/>
          <w:iCs/>
          <w:sz w:val="22"/>
          <w:szCs w:val="22"/>
        </w:rPr>
      </w:pPr>
      <w:bookmarkStart w:id="37" w:name="_Toc218672124"/>
      <w:r w:rsidRPr="006A7674">
        <w:rPr>
          <w:rFonts w:ascii="Bookman Old Style" w:hAnsi="Bookman Old Style"/>
          <w:sz w:val="22"/>
          <w:szCs w:val="22"/>
        </w:rPr>
        <w:t xml:space="preserve">Articolo </w:t>
      </w:r>
      <w:r w:rsidR="00114730">
        <w:rPr>
          <w:rFonts w:ascii="Bookman Old Style" w:hAnsi="Bookman Old Style"/>
          <w:sz w:val="22"/>
          <w:szCs w:val="22"/>
        </w:rPr>
        <w:t>4</w:t>
      </w:r>
      <w:r w:rsidRPr="006A7674">
        <w:rPr>
          <w:rFonts w:ascii="Bookman Old Style" w:hAnsi="Bookman Old Style"/>
          <w:sz w:val="22"/>
          <w:szCs w:val="22"/>
        </w:rPr>
        <w:t xml:space="preserve"> – </w:t>
      </w:r>
      <w:r w:rsidRPr="00CC47B6">
        <w:rPr>
          <w:rFonts w:ascii="Bookman Old Style" w:hAnsi="Bookman Old Style"/>
          <w:iCs/>
          <w:sz w:val="22"/>
          <w:szCs w:val="22"/>
        </w:rPr>
        <w:t>Entrata in vigore</w:t>
      </w:r>
      <w:bookmarkEnd w:id="37"/>
    </w:p>
    <w:p w14:paraId="2F131A64" w14:textId="77777777" w:rsidR="00732E3C" w:rsidRPr="006A7674" w:rsidRDefault="00732E3C" w:rsidP="00732E3C">
      <w:pPr>
        <w:pStyle w:val="testo"/>
        <w:spacing w:after="80" w:line="288" w:lineRule="auto"/>
        <w:rPr>
          <w:rFonts w:ascii="Bookman Old Style" w:hAnsi="Bookman Old Style"/>
        </w:rPr>
      </w:pPr>
      <w:r w:rsidRPr="006A7674">
        <w:rPr>
          <w:rFonts w:ascii="Bookman Old Style" w:hAnsi="Bookman Old Style"/>
          <w:spacing w:val="4"/>
          <w:sz w:val="22"/>
          <w:szCs w:val="22"/>
        </w:rPr>
        <w:t>1. Il presente regolamento entra in vigore lo stesso giorno della sua approvazione</w:t>
      </w:r>
      <w:r>
        <w:rPr>
          <w:rStyle w:val="Rimandonotaapidipagina"/>
          <w:rFonts w:ascii="Bookman Old Style" w:hAnsi="Bookman Old Style"/>
          <w:spacing w:val="4"/>
          <w:sz w:val="22"/>
          <w:szCs w:val="22"/>
        </w:rPr>
        <w:footnoteReference w:id="46"/>
      </w:r>
      <w:r w:rsidRPr="006A7674">
        <w:rPr>
          <w:rFonts w:ascii="Bookman Old Style" w:hAnsi="Bookman Old Style"/>
          <w:spacing w:val="4"/>
          <w:sz w:val="22"/>
          <w:szCs w:val="22"/>
        </w:rPr>
        <w:t>.</w:t>
      </w:r>
    </w:p>
    <w:p w14:paraId="0AE8464C" w14:textId="77777777" w:rsidR="00B469F7" w:rsidRDefault="00B469F7">
      <w:pPr>
        <w:pStyle w:val="testo"/>
        <w:spacing w:after="80" w:line="288" w:lineRule="auto"/>
        <w:rPr>
          <w:rFonts w:ascii="Bookman Old Style" w:hAnsi="Bookman Old Style"/>
          <w:spacing w:val="4"/>
          <w:sz w:val="22"/>
          <w:szCs w:val="22"/>
        </w:rPr>
      </w:pPr>
    </w:p>
    <w:p w14:paraId="0BDD8E88" w14:textId="77777777" w:rsidR="00185133" w:rsidRDefault="00185133" w:rsidP="00185133">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br w:type="page"/>
      </w:r>
    </w:p>
    <w:p w14:paraId="4DB19E5E" w14:textId="77777777" w:rsidR="00185133" w:rsidRDefault="00185133" w:rsidP="00185133">
      <w:pPr>
        <w:pStyle w:val="Titolo3"/>
        <w:spacing w:after="120" w:line="288" w:lineRule="auto"/>
        <w:rPr>
          <w:rFonts w:ascii="Bookman Old Style" w:hAnsi="Bookman Old Style"/>
        </w:rPr>
      </w:pPr>
      <w:bookmarkStart w:id="38" w:name="_Toc218672125"/>
      <w:r>
        <w:rPr>
          <w:rFonts w:ascii="Bookman Old Style" w:hAnsi="Bookman Old Style"/>
        </w:rPr>
        <w:lastRenderedPageBreak/>
        <w:t xml:space="preserve">PARTE V- </w:t>
      </w:r>
      <w:r w:rsidRPr="006A7674">
        <w:rPr>
          <w:rFonts w:ascii="Bookman Old Style" w:hAnsi="Bookman Old Style"/>
          <w:sz w:val="22"/>
          <w:szCs w:val="22"/>
        </w:rPr>
        <w:t>REGOLARIZZAZIONE OMESS</w:t>
      </w:r>
      <w:r w:rsidR="00FC2B84">
        <w:rPr>
          <w:rFonts w:ascii="Bookman Old Style" w:hAnsi="Bookman Old Style"/>
          <w:sz w:val="22"/>
          <w:szCs w:val="22"/>
        </w:rPr>
        <w:t>I VERSAMENTI E DICHIARAZIONI</w:t>
      </w:r>
      <w:bookmarkEnd w:id="38"/>
      <w:r w:rsidRPr="006A7674">
        <w:rPr>
          <w:rFonts w:ascii="Bookman Old Style" w:hAnsi="Bookman Old Style"/>
          <w:sz w:val="22"/>
          <w:szCs w:val="22"/>
        </w:rPr>
        <w:t xml:space="preserve"> </w:t>
      </w:r>
    </w:p>
    <w:p w14:paraId="3215675F" w14:textId="77777777" w:rsidR="00CB3BF7" w:rsidRPr="00CB3BF7" w:rsidRDefault="00CB3BF7" w:rsidP="00CB3BF7">
      <w:pPr>
        <w:pStyle w:val="testo"/>
        <w:spacing w:after="80" w:line="288" w:lineRule="auto"/>
        <w:rPr>
          <w:rFonts w:ascii="Bookman Old Style" w:hAnsi="Bookman Old Style"/>
          <w:spacing w:val="4"/>
          <w:sz w:val="22"/>
          <w:szCs w:val="22"/>
        </w:rPr>
      </w:pPr>
    </w:p>
    <w:p w14:paraId="7A2B7E93" w14:textId="77777777" w:rsidR="00CB3BF7" w:rsidRPr="008D4A34" w:rsidRDefault="00CB3BF7" w:rsidP="00CB3BF7">
      <w:pPr>
        <w:pStyle w:val="Titolo3"/>
        <w:spacing w:after="120" w:line="288" w:lineRule="auto"/>
        <w:jc w:val="both"/>
        <w:rPr>
          <w:rFonts w:ascii="Bookman Old Style" w:hAnsi="Bookman Old Style"/>
          <w:sz w:val="22"/>
          <w:szCs w:val="22"/>
        </w:rPr>
      </w:pPr>
      <w:bookmarkStart w:id="39" w:name="_Toc218672126"/>
      <w:r w:rsidRPr="00D23E66">
        <w:rPr>
          <w:rFonts w:ascii="Bookman Old Style" w:hAnsi="Bookman Old Style"/>
          <w:sz w:val="22"/>
          <w:szCs w:val="22"/>
        </w:rPr>
        <w:t xml:space="preserve">Articolo 1 - </w:t>
      </w:r>
      <w:r w:rsidRPr="008D4A34">
        <w:rPr>
          <w:rFonts w:ascii="Bookman Old Style" w:hAnsi="Bookman Old Style"/>
          <w:sz w:val="22"/>
          <w:szCs w:val="22"/>
        </w:rPr>
        <w:t>Oggetto del Regolamento</w:t>
      </w:r>
      <w:bookmarkEnd w:id="39"/>
      <w:r w:rsidRPr="008D4A34">
        <w:rPr>
          <w:rFonts w:ascii="Bookman Old Style" w:hAnsi="Bookman Old Style"/>
          <w:sz w:val="22"/>
          <w:szCs w:val="22"/>
        </w:rPr>
        <w:t xml:space="preserve"> </w:t>
      </w:r>
    </w:p>
    <w:p w14:paraId="129690BB" w14:textId="77777777" w:rsidR="00AC7D64" w:rsidRDefault="00CB3BF7" w:rsidP="00CB3BF7">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Il presente regolamento adottato nell'ambito della potestà prevista dall’articolo 52 del decreto legislativo 15 dicembre 1997, n. 446 ed in attuazione dell’articolo </w:t>
      </w:r>
      <w:r>
        <w:rPr>
          <w:rFonts w:ascii="Bookman Old Style" w:hAnsi="Bookman Old Style"/>
          <w:sz w:val="22"/>
          <w:szCs w:val="22"/>
        </w:rPr>
        <w:t>1, commi da 102 a 110 della legge 30 dicembre 2025, n. 199</w:t>
      </w:r>
      <w:r w:rsidRPr="00D23E66">
        <w:rPr>
          <w:rFonts w:ascii="Bookman Old Style" w:hAnsi="Bookman Old Style"/>
          <w:sz w:val="22"/>
          <w:szCs w:val="22"/>
        </w:rPr>
        <w:t>, disciplina la definizione agevolata</w:t>
      </w:r>
      <w:r w:rsidR="00AC7D64">
        <w:rPr>
          <w:rFonts w:ascii="Bookman Old Style" w:hAnsi="Bookman Old Style"/>
          <w:sz w:val="22"/>
          <w:szCs w:val="22"/>
        </w:rPr>
        <w:t>:</w:t>
      </w:r>
    </w:p>
    <w:p w14:paraId="474C9AAE" w14:textId="79B424ED" w:rsidR="00AC7D64" w:rsidRDefault="00CB3BF7" w:rsidP="00AC7D64">
      <w:pPr>
        <w:pStyle w:val="Rientrocorpodeltesto"/>
        <w:numPr>
          <w:ilvl w:val="0"/>
          <w:numId w:val="5"/>
        </w:numPr>
        <w:spacing w:after="120" w:line="288" w:lineRule="auto"/>
        <w:rPr>
          <w:rFonts w:ascii="Bookman Old Style" w:hAnsi="Bookman Old Style"/>
          <w:sz w:val="22"/>
          <w:szCs w:val="22"/>
        </w:rPr>
      </w:pPr>
      <w:r w:rsidRPr="00D23E66">
        <w:rPr>
          <w:rFonts w:ascii="Bookman Old Style" w:hAnsi="Bookman Old Style"/>
          <w:sz w:val="22"/>
          <w:szCs w:val="22"/>
        </w:rPr>
        <w:t>de</w:t>
      </w:r>
      <w:r>
        <w:rPr>
          <w:rFonts w:ascii="Bookman Old Style" w:hAnsi="Bookman Old Style"/>
          <w:sz w:val="22"/>
          <w:szCs w:val="22"/>
        </w:rPr>
        <w:t>gli</w:t>
      </w:r>
      <w:r w:rsidR="00B166D6">
        <w:rPr>
          <w:rFonts w:ascii="Bookman Old Style" w:hAnsi="Bookman Old Style"/>
          <w:sz w:val="22"/>
          <w:szCs w:val="22"/>
        </w:rPr>
        <w:t xml:space="preserve"> </w:t>
      </w:r>
      <w:r w:rsidR="00200F67">
        <w:rPr>
          <w:rFonts w:ascii="Bookman Old Style" w:hAnsi="Bookman Old Style"/>
          <w:sz w:val="22"/>
          <w:szCs w:val="22"/>
        </w:rPr>
        <w:t xml:space="preserve">omessi </w:t>
      </w:r>
      <w:r w:rsidR="00B166D6">
        <w:rPr>
          <w:rFonts w:ascii="Bookman Old Style" w:hAnsi="Bookman Old Style"/>
          <w:sz w:val="22"/>
          <w:szCs w:val="22"/>
        </w:rPr>
        <w:t>adempimenti dichiarativi e di versamento</w:t>
      </w:r>
      <w:r w:rsidR="00F975BD">
        <w:rPr>
          <w:rFonts w:ascii="Bookman Old Style" w:hAnsi="Bookman Old Style"/>
          <w:sz w:val="22"/>
          <w:szCs w:val="22"/>
        </w:rPr>
        <w:t xml:space="preserve"> alla</w:t>
      </w:r>
      <w:r>
        <w:rPr>
          <w:rFonts w:ascii="Bookman Old Style" w:hAnsi="Bookman Old Style"/>
          <w:sz w:val="22"/>
          <w:szCs w:val="22"/>
        </w:rPr>
        <w:t xml:space="preserve"> data del 1° gennaio 2026</w:t>
      </w:r>
      <w:r w:rsidR="00DA516D">
        <w:rPr>
          <w:rFonts w:ascii="Bookman Old Style" w:hAnsi="Bookman Old Style"/>
          <w:sz w:val="22"/>
          <w:szCs w:val="22"/>
        </w:rPr>
        <w:t xml:space="preserve"> relativi alla Tari di cui all’articolo 1, comma 639 e seguenti della legge 27 dicembre 2013, n. 147.</w:t>
      </w:r>
    </w:p>
    <w:p w14:paraId="71A3D026" w14:textId="0EF98A71" w:rsidR="00CB3BF7" w:rsidRDefault="00AC7D64" w:rsidP="00AC7D64">
      <w:pPr>
        <w:pStyle w:val="Rientrocorpodeltesto"/>
        <w:numPr>
          <w:ilvl w:val="0"/>
          <w:numId w:val="5"/>
        </w:numPr>
        <w:spacing w:after="120" w:line="288" w:lineRule="auto"/>
        <w:rPr>
          <w:rFonts w:ascii="Bookman Old Style" w:hAnsi="Bookman Old Style"/>
          <w:sz w:val="22"/>
          <w:szCs w:val="22"/>
        </w:rPr>
      </w:pPr>
      <w:r w:rsidRPr="00D23E66">
        <w:rPr>
          <w:rFonts w:ascii="Bookman Old Style" w:hAnsi="Bookman Old Style"/>
          <w:sz w:val="22"/>
          <w:szCs w:val="22"/>
        </w:rPr>
        <w:t>de</w:t>
      </w:r>
      <w:r>
        <w:rPr>
          <w:rFonts w:ascii="Bookman Old Style" w:hAnsi="Bookman Old Style"/>
          <w:sz w:val="22"/>
          <w:szCs w:val="22"/>
        </w:rPr>
        <w:t>gli omessi adempimenti dichiarativi e di versamento alla data del 1° gennaio 2026 relativi a…</w:t>
      </w:r>
      <w:proofErr w:type="gramStart"/>
      <w:r>
        <w:rPr>
          <w:rFonts w:ascii="Bookman Old Style" w:hAnsi="Bookman Old Style"/>
          <w:sz w:val="22"/>
          <w:szCs w:val="22"/>
        </w:rPr>
        <w:t>…….</w:t>
      </w:r>
      <w:proofErr w:type="gramEnd"/>
      <w:r>
        <w:rPr>
          <w:rFonts w:ascii="Bookman Old Style" w:hAnsi="Bookman Old Style"/>
          <w:sz w:val="22"/>
          <w:szCs w:val="22"/>
        </w:rPr>
        <w:t>.</w:t>
      </w:r>
      <w:r w:rsidR="00DA516D">
        <w:rPr>
          <w:rStyle w:val="Rimandonotaapidipagina"/>
          <w:rFonts w:ascii="Bookman Old Style" w:hAnsi="Bookman Old Style"/>
          <w:sz w:val="22"/>
          <w:szCs w:val="22"/>
        </w:rPr>
        <w:footnoteReference w:id="47"/>
      </w:r>
    </w:p>
    <w:p w14:paraId="26E6D989" w14:textId="26144117" w:rsidR="00AC7D64" w:rsidRDefault="00AC7D64" w:rsidP="00703A7C">
      <w:pPr>
        <w:pStyle w:val="Rientrocorpodeltesto"/>
        <w:numPr>
          <w:ilvl w:val="0"/>
          <w:numId w:val="5"/>
        </w:numPr>
        <w:spacing w:after="120" w:line="288" w:lineRule="auto"/>
        <w:rPr>
          <w:rFonts w:ascii="Bookman Old Style" w:hAnsi="Bookman Old Style"/>
          <w:sz w:val="22"/>
          <w:szCs w:val="22"/>
        </w:rPr>
      </w:pPr>
      <w:r>
        <w:rPr>
          <w:rFonts w:ascii="Bookman Old Style" w:hAnsi="Bookman Old Style"/>
          <w:sz w:val="22"/>
          <w:szCs w:val="22"/>
        </w:rPr>
        <w:t>…..</w:t>
      </w:r>
    </w:p>
    <w:p w14:paraId="347540A9" w14:textId="77777777" w:rsidR="00CB3BF7" w:rsidRPr="006A7674" w:rsidRDefault="00CB3BF7" w:rsidP="00CB3BF7">
      <w:pPr>
        <w:pStyle w:val="Rientrocorpodeltesto"/>
        <w:spacing w:after="80" w:line="288" w:lineRule="auto"/>
        <w:rPr>
          <w:rFonts w:ascii="Bookman Old Style" w:hAnsi="Bookman Old Style"/>
          <w:sz w:val="22"/>
          <w:szCs w:val="22"/>
        </w:rPr>
      </w:pPr>
    </w:p>
    <w:p w14:paraId="113E5ACE" w14:textId="77777777" w:rsidR="00B166D6" w:rsidRPr="006A7674" w:rsidRDefault="00B166D6" w:rsidP="00B166D6">
      <w:pPr>
        <w:pStyle w:val="Titolo3"/>
        <w:spacing w:after="80" w:line="288" w:lineRule="auto"/>
        <w:jc w:val="left"/>
        <w:rPr>
          <w:rFonts w:ascii="Bookman Old Style" w:hAnsi="Bookman Old Style"/>
          <w:sz w:val="22"/>
          <w:szCs w:val="22"/>
        </w:rPr>
      </w:pPr>
      <w:bookmarkStart w:id="40" w:name="_Toc218672127"/>
      <w:r w:rsidRPr="006A7674">
        <w:rPr>
          <w:rFonts w:ascii="Bookman Old Style" w:hAnsi="Bookman Old Style"/>
          <w:sz w:val="22"/>
          <w:szCs w:val="22"/>
        </w:rPr>
        <w:t>Articolo 2 – Oggetto della definizione agevolata</w:t>
      </w:r>
      <w:bookmarkEnd w:id="40"/>
      <w:r w:rsidRPr="006A7674">
        <w:rPr>
          <w:rFonts w:ascii="Bookman Old Style" w:hAnsi="Bookman Old Style"/>
          <w:sz w:val="22"/>
          <w:szCs w:val="22"/>
        </w:rPr>
        <w:t xml:space="preserve"> </w:t>
      </w:r>
    </w:p>
    <w:p w14:paraId="592FABE8" w14:textId="7ADF1C7B" w:rsidR="00032294" w:rsidRPr="00DF62A7" w:rsidRDefault="00DA516D" w:rsidP="00DF62A7">
      <w:pPr>
        <w:pStyle w:val="Rientrocorpodeltesto"/>
        <w:spacing w:after="120" w:line="288" w:lineRule="auto"/>
        <w:rPr>
          <w:rFonts w:ascii="Bookman Old Style" w:hAnsi="Bookman Old Style"/>
          <w:sz w:val="22"/>
          <w:szCs w:val="22"/>
        </w:rPr>
      </w:pPr>
      <w:r>
        <w:rPr>
          <w:rFonts w:ascii="Bookman Old Style" w:hAnsi="Bookman Old Style"/>
          <w:sz w:val="22"/>
          <w:szCs w:val="22"/>
        </w:rPr>
        <w:t>1</w:t>
      </w:r>
      <w:r w:rsidR="00DF62A7" w:rsidRPr="00DF62A7">
        <w:rPr>
          <w:rFonts w:ascii="Bookman Old Style" w:hAnsi="Bookman Old Style"/>
          <w:sz w:val="22"/>
          <w:szCs w:val="22"/>
        </w:rPr>
        <w:t xml:space="preserve">. </w:t>
      </w:r>
      <w:r>
        <w:rPr>
          <w:rFonts w:ascii="Bookman Old Style" w:hAnsi="Bookman Old Style"/>
          <w:sz w:val="22"/>
          <w:szCs w:val="22"/>
        </w:rPr>
        <w:t>Oggetto della definizione agevola</w:t>
      </w:r>
      <w:r w:rsidR="004B42F9">
        <w:rPr>
          <w:rFonts w:ascii="Bookman Old Style" w:hAnsi="Bookman Old Style"/>
          <w:sz w:val="22"/>
          <w:szCs w:val="22"/>
        </w:rPr>
        <w:t>ta</w:t>
      </w:r>
      <w:r>
        <w:rPr>
          <w:rFonts w:ascii="Bookman Old Style" w:hAnsi="Bookman Old Style"/>
          <w:sz w:val="22"/>
          <w:szCs w:val="22"/>
        </w:rPr>
        <w:t xml:space="preserve"> sono:</w:t>
      </w:r>
    </w:p>
    <w:p w14:paraId="14E2DA92" w14:textId="77777777" w:rsidR="00032294" w:rsidRPr="002A0235" w:rsidRDefault="00032294" w:rsidP="00032294">
      <w:pPr>
        <w:pStyle w:val="testo"/>
        <w:numPr>
          <w:ilvl w:val="0"/>
          <w:numId w:val="1"/>
        </w:numPr>
        <w:spacing w:after="80" w:line="288" w:lineRule="auto"/>
        <w:rPr>
          <w:rFonts w:ascii="Bookman Old Style" w:hAnsi="Bookman Old Style"/>
          <w:spacing w:val="4"/>
          <w:sz w:val="22"/>
          <w:szCs w:val="22"/>
        </w:rPr>
      </w:pPr>
      <w:r w:rsidRPr="002A0235">
        <w:rPr>
          <w:rFonts w:ascii="Bookman Old Style" w:hAnsi="Bookman Old Style"/>
          <w:spacing w:val="4"/>
          <w:sz w:val="22"/>
          <w:szCs w:val="22"/>
        </w:rPr>
        <w:t>l'omesso o carente versamento del tributo dovuto per le annualità dal 2021 al 202</w:t>
      </w:r>
      <w:r w:rsidR="003F5667">
        <w:rPr>
          <w:rFonts w:ascii="Bookman Old Style" w:hAnsi="Bookman Old Style"/>
          <w:spacing w:val="4"/>
          <w:sz w:val="22"/>
          <w:szCs w:val="22"/>
        </w:rPr>
        <w:t>4</w:t>
      </w:r>
      <w:r w:rsidRPr="002A0235">
        <w:rPr>
          <w:rFonts w:ascii="Bookman Old Style" w:hAnsi="Bookman Old Style"/>
          <w:spacing w:val="4"/>
          <w:sz w:val="22"/>
          <w:szCs w:val="22"/>
        </w:rPr>
        <w:t>;</w:t>
      </w:r>
    </w:p>
    <w:p w14:paraId="5DE7CD1B" w14:textId="77777777" w:rsidR="00032294" w:rsidRPr="002A0235" w:rsidRDefault="00032294" w:rsidP="002A0235">
      <w:pPr>
        <w:pStyle w:val="testo"/>
        <w:numPr>
          <w:ilvl w:val="0"/>
          <w:numId w:val="1"/>
        </w:numPr>
        <w:spacing w:after="80" w:line="288" w:lineRule="auto"/>
        <w:rPr>
          <w:rFonts w:ascii="Bookman Old Style" w:hAnsi="Bookman Old Style"/>
          <w:spacing w:val="4"/>
          <w:sz w:val="22"/>
          <w:szCs w:val="22"/>
        </w:rPr>
      </w:pPr>
      <w:r w:rsidRPr="002A0235">
        <w:rPr>
          <w:rFonts w:ascii="Bookman Old Style" w:hAnsi="Bookman Old Style"/>
          <w:spacing w:val="4"/>
          <w:sz w:val="22"/>
          <w:szCs w:val="22"/>
        </w:rPr>
        <w:t>l’omessa o infedele dichiarazione per gli anni dal 2000 al 202</w:t>
      </w:r>
      <w:r w:rsidR="0029635C" w:rsidRPr="002A0235">
        <w:rPr>
          <w:rFonts w:ascii="Bookman Old Style" w:hAnsi="Bookman Old Style"/>
          <w:spacing w:val="4"/>
          <w:sz w:val="22"/>
          <w:szCs w:val="22"/>
        </w:rPr>
        <w:t>4</w:t>
      </w:r>
    </w:p>
    <w:p w14:paraId="453684EF" w14:textId="73030C8E" w:rsidR="00897132" w:rsidRDefault="003456DC" w:rsidP="00B166D6">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t>2</w:t>
      </w:r>
      <w:r w:rsidR="00B166D6" w:rsidRPr="002A0235">
        <w:rPr>
          <w:rFonts w:ascii="Bookman Old Style" w:hAnsi="Bookman Old Style"/>
          <w:spacing w:val="4"/>
          <w:sz w:val="22"/>
          <w:szCs w:val="22"/>
        </w:rPr>
        <w:t xml:space="preserve">. </w:t>
      </w:r>
      <w:r w:rsidR="00897132">
        <w:rPr>
          <w:rFonts w:ascii="Bookman Old Style" w:hAnsi="Bookman Old Style"/>
          <w:spacing w:val="4"/>
          <w:sz w:val="22"/>
          <w:szCs w:val="22"/>
        </w:rPr>
        <w:t>Sono esclusi dalla definizione agevolata di cui</w:t>
      </w:r>
      <w:r w:rsidR="00DF62A7">
        <w:rPr>
          <w:rFonts w:ascii="Bookman Old Style" w:hAnsi="Bookman Old Style"/>
          <w:spacing w:val="4"/>
          <w:sz w:val="22"/>
          <w:szCs w:val="22"/>
        </w:rPr>
        <w:t xml:space="preserve"> a</w:t>
      </w:r>
      <w:r w:rsidR="00DA516D">
        <w:rPr>
          <w:rFonts w:ascii="Bookman Old Style" w:hAnsi="Bookman Old Style"/>
          <w:spacing w:val="4"/>
          <w:sz w:val="22"/>
          <w:szCs w:val="22"/>
        </w:rPr>
        <w:t xml:space="preserve">l comma </w:t>
      </w:r>
      <w:r w:rsidR="00DF62A7">
        <w:rPr>
          <w:rFonts w:ascii="Bookman Old Style" w:hAnsi="Bookman Old Style"/>
          <w:spacing w:val="4"/>
          <w:sz w:val="22"/>
          <w:szCs w:val="22"/>
        </w:rPr>
        <w:t xml:space="preserve">1, </w:t>
      </w:r>
      <w:r w:rsidR="00897132">
        <w:rPr>
          <w:rFonts w:ascii="Bookman Old Style" w:hAnsi="Bookman Old Style"/>
          <w:spacing w:val="4"/>
          <w:sz w:val="22"/>
          <w:szCs w:val="22"/>
        </w:rPr>
        <w:t xml:space="preserve">gli importi già oggetto di accertamento esecutivo notificato entro la data del 1° gennaio 2026, anche se non </w:t>
      </w:r>
      <w:r w:rsidR="00F01C33">
        <w:rPr>
          <w:rFonts w:ascii="Bookman Old Style" w:hAnsi="Bookman Old Style"/>
          <w:spacing w:val="4"/>
          <w:sz w:val="22"/>
          <w:szCs w:val="22"/>
        </w:rPr>
        <w:t>definitivo</w:t>
      </w:r>
      <w:r w:rsidR="00897132">
        <w:rPr>
          <w:rFonts w:ascii="Bookman Old Style" w:hAnsi="Bookman Old Style"/>
          <w:spacing w:val="4"/>
          <w:sz w:val="22"/>
          <w:szCs w:val="22"/>
        </w:rPr>
        <w:t>.</w:t>
      </w:r>
    </w:p>
    <w:p w14:paraId="5796ACF9" w14:textId="77777777" w:rsidR="003456DC" w:rsidRDefault="003456DC" w:rsidP="00B166D6">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t>3. La definizione agevolata si perfeziona con il paga</w:t>
      </w:r>
      <w:r w:rsidR="00496906">
        <w:rPr>
          <w:rFonts w:ascii="Bookman Old Style" w:hAnsi="Bookman Old Style"/>
          <w:spacing w:val="4"/>
          <w:sz w:val="22"/>
          <w:szCs w:val="22"/>
        </w:rPr>
        <w:t xml:space="preserve">mento </w:t>
      </w:r>
      <w:r>
        <w:rPr>
          <w:rFonts w:ascii="Bookman Old Style" w:hAnsi="Bookman Old Style"/>
          <w:spacing w:val="4"/>
          <w:sz w:val="22"/>
          <w:szCs w:val="22"/>
        </w:rPr>
        <w:t>dell’importo dovuto a titolo di tassa, con esclusioni di sanzioni ed interessi</w:t>
      </w:r>
      <w:r>
        <w:rPr>
          <w:rStyle w:val="Rimandonotaapidipagina"/>
          <w:rFonts w:ascii="Bookman Old Style" w:hAnsi="Bookman Old Style"/>
          <w:spacing w:val="4"/>
          <w:sz w:val="22"/>
          <w:szCs w:val="22"/>
        </w:rPr>
        <w:footnoteReference w:id="48"/>
      </w:r>
      <w:r w:rsidR="00496906">
        <w:rPr>
          <w:rFonts w:ascii="Bookman Old Style" w:hAnsi="Bookman Old Style"/>
          <w:spacing w:val="4"/>
          <w:sz w:val="22"/>
          <w:szCs w:val="22"/>
        </w:rPr>
        <w:t xml:space="preserve"> nei termini di cui al successivo articolo 3, comma 2.</w:t>
      </w:r>
    </w:p>
    <w:p w14:paraId="4799A378" w14:textId="77777777" w:rsidR="00B166D6" w:rsidRDefault="00B166D6" w:rsidP="00B166D6">
      <w:pPr>
        <w:pStyle w:val="testo"/>
        <w:spacing w:after="80" w:line="288" w:lineRule="auto"/>
        <w:rPr>
          <w:rFonts w:ascii="Bookman Old Style" w:hAnsi="Bookman Old Style"/>
          <w:spacing w:val="4"/>
          <w:sz w:val="22"/>
          <w:szCs w:val="22"/>
          <w:highlight w:val="yellow"/>
        </w:rPr>
      </w:pPr>
    </w:p>
    <w:p w14:paraId="6C20FBA5" w14:textId="77777777" w:rsidR="007650D3" w:rsidRPr="00CC47B6" w:rsidRDefault="007650D3" w:rsidP="007650D3">
      <w:pPr>
        <w:pStyle w:val="Titolo3"/>
        <w:spacing w:after="120" w:line="288" w:lineRule="auto"/>
        <w:jc w:val="left"/>
        <w:rPr>
          <w:rFonts w:ascii="Bookman Old Style" w:hAnsi="Bookman Old Style"/>
          <w:iCs/>
          <w:sz w:val="22"/>
          <w:szCs w:val="22"/>
        </w:rPr>
      </w:pPr>
      <w:bookmarkStart w:id="41" w:name="_Toc218672128"/>
      <w:r w:rsidRPr="00D23E66">
        <w:rPr>
          <w:rFonts w:ascii="Bookman Old Style" w:hAnsi="Bookman Old Style"/>
          <w:sz w:val="22"/>
          <w:szCs w:val="22"/>
        </w:rPr>
        <w:t xml:space="preserve">Articolo 3 – </w:t>
      </w:r>
      <w:r w:rsidRPr="00CC47B6">
        <w:rPr>
          <w:rFonts w:ascii="Bookman Old Style" w:hAnsi="Bookman Old Style"/>
          <w:iCs/>
          <w:sz w:val="22"/>
          <w:szCs w:val="22"/>
        </w:rPr>
        <w:t>Dichiarazione di adesione alla definizione agevolata</w:t>
      </w:r>
      <w:r w:rsidR="00DA39C5" w:rsidRPr="00CC47B6">
        <w:rPr>
          <w:rStyle w:val="Rimandonotaapidipagina"/>
          <w:rFonts w:ascii="Bookman Old Style" w:hAnsi="Bookman Old Style"/>
          <w:iCs/>
          <w:sz w:val="22"/>
          <w:szCs w:val="22"/>
        </w:rPr>
        <w:footnoteReference w:id="49"/>
      </w:r>
      <w:bookmarkEnd w:id="41"/>
    </w:p>
    <w:p w14:paraId="4862ECF7" w14:textId="6C7214FB" w:rsidR="007650D3" w:rsidRPr="00D23E66" w:rsidRDefault="007650D3" w:rsidP="007650D3">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1. Ai fini della definizione di cui all’articolo 2, il debitore manifesta al Comune, (</w:t>
      </w:r>
      <w:r w:rsidRPr="00D23E66">
        <w:rPr>
          <w:rFonts w:ascii="Bookman Old Style" w:hAnsi="Bookman Old Style"/>
          <w:i/>
          <w:color w:val="FF0000"/>
          <w:sz w:val="22"/>
          <w:szCs w:val="22"/>
        </w:rPr>
        <w:t xml:space="preserve">o al concessionario o alla società in house </w:t>
      </w:r>
      <w:proofErr w:type="gramStart"/>
      <w:r w:rsidRPr="00D23E66">
        <w:rPr>
          <w:rFonts w:ascii="Bookman Old Style" w:hAnsi="Bookman Old Style"/>
          <w:i/>
          <w:color w:val="FF0000"/>
          <w:sz w:val="22"/>
          <w:szCs w:val="22"/>
        </w:rPr>
        <w:t>……</w:t>
      </w:r>
      <w:r w:rsidRPr="00D23E66">
        <w:rPr>
          <w:rFonts w:ascii="Bookman Old Style" w:hAnsi="Bookman Old Style"/>
          <w:color w:val="FF0000"/>
          <w:sz w:val="22"/>
          <w:szCs w:val="22"/>
        </w:rPr>
        <w:t>.</w:t>
      </w:r>
      <w:proofErr w:type="gramEnd"/>
      <w:r w:rsidRPr="00D23E66">
        <w:rPr>
          <w:rFonts w:ascii="Bookman Old Style" w:hAnsi="Bookman Old Style"/>
          <w:sz w:val="22"/>
          <w:szCs w:val="22"/>
        </w:rPr>
        <w:t xml:space="preserve">), la sua volontà di avvalersene, rendendo entro </w:t>
      </w:r>
      <w:r w:rsidR="009C77E1" w:rsidRPr="009C77E1">
        <w:rPr>
          <w:rFonts w:ascii="Bookman Old Style" w:hAnsi="Bookman Old Style"/>
          <w:color w:val="FF0000"/>
          <w:sz w:val="22"/>
          <w:szCs w:val="22"/>
        </w:rPr>
        <w:t>il ………………</w:t>
      </w:r>
      <w:r>
        <w:rPr>
          <w:rFonts w:ascii="Bookman Old Style" w:hAnsi="Bookman Old Style"/>
          <w:sz w:val="22"/>
          <w:szCs w:val="22"/>
        </w:rPr>
        <w:t xml:space="preserve"> </w:t>
      </w:r>
      <w:r w:rsidR="009C77E1">
        <w:rPr>
          <w:rStyle w:val="Rimandonotaapidipagina"/>
          <w:rFonts w:ascii="Bookman Old Style" w:hAnsi="Bookman Old Style"/>
          <w:sz w:val="22"/>
          <w:szCs w:val="22"/>
        </w:rPr>
        <w:footnoteReference w:id="50"/>
      </w:r>
      <w:r w:rsidR="009C77E1">
        <w:rPr>
          <w:rFonts w:ascii="Bookman Old Style" w:hAnsi="Bookman Old Style"/>
          <w:sz w:val="22"/>
          <w:szCs w:val="22"/>
        </w:rPr>
        <w:t xml:space="preserve"> </w:t>
      </w:r>
      <w:r w:rsidRPr="00D23E66">
        <w:rPr>
          <w:rFonts w:ascii="Bookman Old Style" w:hAnsi="Bookman Old Style"/>
          <w:sz w:val="22"/>
          <w:szCs w:val="22"/>
        </w:rPr>
        <w:t xml:space="preserve">apposita dichiarazione, con le modalità e in conformità alla modulistica </w:t>
      </w:r>
      <w:r w:rsidRPr="00D23E66">
        <w:rPr>
          <w:rFonts w:ascii="Bookman Old Style" w:hAnsi="Bookman Old Style"/>
          <w:sz w:val="22"/>
          <w:szCs w:val="22"/>
        </w:rPr>
        <w:lastRenderedPageBreak/>
        <w:t xml:space="preserve">che lo stesso Comune </w:t>
      </w:r>
      <w:r w:rsidRPr="00D23E66">
        <w:rPr>
          <w:rFonts w:ascii="Bookman Old Style" w:hAnsi="Bookman Old Style"/>
          <w:color w:val="FF0000"/>
          <w:sz w:val="22"/>
          <w:szCs w:val="22"/>
        </w:rPr>
        <w:t>(</w:t>
      </w:r>
      <w:r w:rsidRPr="00D23E66">
        <w:rPr>
          <w:rFonts w:ascii="Bookman Old Style" w:hAnsi="Bookman Old Style"/>
          <w:i/>
          <w:color w:val="FF0000"/>
          <w:sz w:val="22"/>
          <w:szCs w:val="22"/>
        </w:rPr>
        <w:t>o concessionario o società in house</w:t>
      </w:r>
      <w:r w:rsidRPr="00D23E66">
        <w:rPr>
          <w:rFonts w:ascii="Bookman Old Style" w:hAnsi="Bookman Old Style"/>
          <w:color w:val="FF0000"/>
          <w:sz w:val="22"/>
          <w:szCs w:val="22"/>
        </w:rPr>
        <w:t xml:space="preserve">) </w:t>
      </w:r>
      <w:r w:rsidRPr="00D23E66">
        <w:rPr>
          <w:rFonts w:ascii="Bookman Old Style" w:hAnsi="Bookman Old Style"/>
          <w:sz w:val="22"/>
          <w:szCs w:val="22"/>
        </w:rPr>
        <w:t xml:space="preserve">mette a disposizione sul proprio sito </w:t>
      </w:r>
      <w:r w:rsidRPr="005C3604">
        <w:rPr>
          <w:rFonts w:ascii="Bookman Old Style" w:hAnsi="Bookman Old Style"/>
          <w:i/>
          <w:iCs/>
          <w:sz w:val="22"/>
          <w:szCs w:val="22"/>
        </w:rPr>
        <w:t>internet</w:t>
      </w:r>
      <w:r w:rsidRPr="00D23E66">
        <w:rPr>
          <w:rFonts w:ascii="Bookman Old Style" w:hAnsi="Bookman Old Style"/>
          <w:sz w:val="22"/>
          <w:szCs w:val="22"/>
        </w:rPr>
        <w:t xml:space="preserve"> nel termine di 15 giorni dall’approvazione del presente regolamento. In tale dichiarazione il debitore indica altresì il numero di rate nel quale intende effettuare il pagamento. </w:t>
      </w:r>
      <w:r w:rsidR="006A1476">
        <w:rPr>
          <w:rFonts w:ascii="Bookman Old Style" w:hAnsi="Bookman Old Style"/>
          <w:sz w:val="22"/>
          <w:szCs w:val="22"/>
        </w:rPr>
        <w:t>Unitamente alla dichiarazione di cui al periodo precedente, il debitore presenta l’eventuale dichiarazione omessa o la dichiarazione rettificativa</w:t>
      </w:r>
      <w:r w:rsidR="00496906">
        <w:rPr>
          <w:rFonts w:ascii="Bookman Old Style" w:hAnsi="Bookman Old Style"/>
          <w:sz w:val="22"/>
          <w:szCs w:val="22"/>
        </w:rPr>
        <w:t>.</w:t>
      </w:r>
      <w:r w:rsidR="006A1476">
        <w:rPr>
          <w:rFonts w:ascii="Bookman Old Style" w:hAnsi="Bookman Old Style"/>
          <w:sz w:val="22"/>
          <w:szCs w:val="22"/>
        </w:rPr>
        <w:t xml:space="preserve"> </w:t>
      </w:r>
    </w:p>
    <w:p w14:paraId="16299BAC" w14:textId="1FE947BC" w:rsidR="007650D3" w:rsidRPr="00D23E66" w:rsidRDefault="007650D3" w:rsidP="007650D3">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2. Il Comune (</w:t>
      </w:r>
      <w:r w:rsidRPr="00D23E66">
        <w:rPr>
          <w:rFonts w:ascii="Bookman Old Style" w:hAnsi="Bookman Old Style"/>
          <w:i/>
          <w:color w:val="FF0000"/>
          <w:sz w:val="22"/>
          <w:szCs w:val="22"/>
        </w:rPr>
        <w:t xml:space="preserve">o il </w:t>
      </w:r>
      <w:r w:rsidR="009C77E1" w:rsidRPr="00D23E66">
        <w:rPr>
          <w:rFonts w:ascii="Bookman Old Style" w:hAnsi="Bookman Old Style"/>
          <w:i/>
          <w:color w:val="FF0000"/>
          <w:sz w:val="22"/>
          <w:szCs w:val="22"/>
        </w:rPr>
        <w:t>concessionario…</w:t>
      </w:r>
      <w:r w:rsidRPr="00D23E66">
        <w:rPr>
          <w:rFonts w:ascii="Bookman Old Style" w:hAnsi="Bookman Old Style"/>
          <w:i/>
          <w:color w:val="FF0000"/>
          <w:sz w:val="22"/>
          <w:szCs w:val="22"/>
        </w:rPr>
        <w:t>. o la società in house</w:t>
      </w:r>
      <w:r w:rsidRPr="00584526">
        <w:rPr>
          <w:rFonts w:ascii="Bookman Old Style" w:hAnsi="Bookman Old Style"/>
          <w:iCs/>
          <w:sz w:val="22"/>
          <w:szCs w:val="22"/>
        </w:rPr>
        <w:t>)</w:t>
      </w:r>
      <w:r w:rsidRPr="00D23E66">
        <w:rPr>
          <w:rFonts w:ascii="Bookman Old Style" w:hAnsi="Bookman Old Style"/>
          <w:sz w:val="22"/>
          <w:szCs w:val="22"/>
        </w:rPr>
        <w:t xml:space="preserve"> entro il </w:t>
      </w:r>
      <w:r w:rsidRPr="00512B2D">
        <w:rPr>
          <w:rFonts w:ascii="Bookman Old Style" w:hAnsi="Bookman Old Style"/>
          <w:bCs/>
          <w:sz w:val="22"/>
          <w:szCs w:val="22"/>
        </w:rPr>
        <w:t>…</w:t>
      </w:r>
      <w:proofErr w:type="gramStart"/>
      <w:r w:rsidRPr="00512B2D">
        <w:rPr>
          <w:rFonts w:ascii="Bookman Old Style" w:hAnsi="Bookman Old Style"/>
          <w:bCs/>
          <w:sz w:val="22"/>
          <w:szCs w:val="22"/>
        </w:rPr>
        <w:t>…….</w:t>
      </w:r>
      <w:proofErr w:type="gramEnd"/>
      <w:r w:rsidRPr="00512B2D">
        <w:rPr>
          <w:rFonts w:ascii="Bookman Old Style" w:hAnsi="Bookman Old Style"/>
          <w:bCs/>
          <w:sz w:val="22"/>
          <w:szCs w:val="22"/>
        </w:rPr>
        <w:t>. (</w:t>
      </w:r>
      <w:r w:rsidRPr="00512B2D">
        <w:rPr>
          <w:rFonts w:ascii="Bookman Old Style" w:hAnsi="Bookman Old Style"/>
          <w:bCs/>
          <w:i/>
          <w:iCs/>
          <w:color w:val="FF0000"/>
          <w:sz w:val="22"/>
          <w:szCs w:val="22"/>
        </w:rPr>
        <w:t xml:space="preserve">ad esempio, il 31 ottobre </w:t>
      </w:r>
      <w:r w:rsidR="006D6674" w:rsidRPr="00512B2D">
        <w:rPr>
          <w:rFonts w:ascii="Bookman Old Style" w:hAnsi="Bookman Old Style"/>
          <w:bCs/>
          <w:i/>
          <w:iCs/>
          <w:color w:val="FF0000"/>
          <w:sz w:val="22"/>
          <w:szCs w:val="22"/>
        </w:rPr>
        <w:t>202</w:t>
      </w:r>
      <w:r w:rsidR="006D6674">
        <w:rPr>
          <w:rFonts w:ascii="Bookman Old Style" w:hAnsi="Bookman Old Style"/>
          <w:bCs/>
          <w:i/>
          <w:iCs/>
          <w:color w:val="FF0000"/>
          <w:sz w:val="22"/>
          <w:szCs w:val="22"/>
        </w:rPr>
        <w:t>6</w:t>
      </w:r>
      <w:r w:rsidR="006D6674" w:rsidRPr="00512B2D">
        <w:rPr>
          <w:rFonts w:ascii="Bookman Old Style" w:hAnsi="Bookman Old Style"/>
          <w:bCs/>
          <w:i/>
          <w:iCs/>
          <w:color w:val="FF0000"/>
          <w:sz w:val="22"/>
          <w:szCs w:val="22"/>
        </w:rPr>
        <w:t xml:space="preserve"> </w:t>
      </w:r>
      <w:r w:rsidRPr="00512B2D">
        <w:rPr>
          <w:rFonts w:ascii="Bookman Old Style" w:hAnsi="Bookman Old Style"/>
          <w:bCs/>
          <w:i/>
          <w:iCs/>
          <w:color w:val="FF0000"/>
          <w:sz w:val="22"/>
          <w:szCs w:val="22"/>
        </w:rPr>
        <w:t>o altra data successiva in coerenza con le capacità operative delle strutture preposte</w:t>
      </w:r>
      <w:r w:rsidRPr="00512B2D">
        <w:rPr>
          <w:rFonts w:ascii="Bookman Old Style" w:hAnsi="Bookman Old Style"/>
          <w:bCs/>
          <w:sz w:val="22"/>
          <w:szCs w:val="22"/>
        </w:rPr>
        <w:t>)</w:t>
      </w:r>
      <w:r w:rsidRPr="00EC0148">
        <w:rPr>
          <w:rFonts w:ascii="Bookman Old Style" w:hAnsi="Bookman Old Style"/>
          <w:bCs/>
          <w:sz w:val="22"/>
          <w:szCs w:val="22"/>
        </w:rPr>
        <w:t xml:space="preserve"> notifica</w:t>
      </w:r>
      <w:r w:rsidRPr="00D23E66">
        <w:rPr>
          <w:rFonts w:ascii="Bookman Old Style" w:hAnsi="Bookman Old Style"/>
          <w:sz w:val="22"/>
          <w:szCs w:val="22"/>
        </w:rPr>
        <w:t xml:space="preserve"> ai debitori che hanno presentato la dichiarazione di cui al comma 1 l’ammontare complessivo delle somme dovute</w:t>
      </w:r>
      <w:r w:rsidR="008F6903">
        <w:rPr>
          <w:rFonts w:ascii="Bookman Old Style" w:hAnsi="Bookman Old Style"/>
          <w:sz w:val="22"/>
          <w:szCs w:val="22"/>
        </w:rPr>
        <w:t xml:space="preserve"> </w:t>
      </w:r>
      <w:r w:rsidR="00AC7D64">
        <w:rPr>
          <w:rFonts w:ascii="Bookman Old Style" w:hAnsi="Bookman Old Style"/>
          <w:sz w:val="22"/>
          <w:szCs w:val="22"/>
        </w:rPr>
        <w:t>per le entrate sulle quali tale indicazione è preventivamente possibile</w:t>
      </w:r>
      <w:r w:rsidRPr="00D23E66">
        <w:rPr>
          <w:rFonts w:ascii="Bookman Old Style" w:hAnsi="Bookman Old Style"/>
          <w:sz w:val="22"/>
          <w:szCs w:val="22"/>
        </w:rPr>
        <w:t>, le modalità di pagamento, nonché l’importo delle singole rate, il giorno e il mese di scadenza di ciascuna di esse, attendendosi ai seguenti criteri:</w:t>
      </w:r>
    </w:p>
    <w:p w14:paraId="5545C417" w14:textId="77777777" w:rsidR="007650D3" w:rsidRPr="00D23E66" w:rsidRDefault="007650D3" w:rsidP="007650D3">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a) versamento unico: entro il </w:t>
      </w:r>
      <w:r w:rsidRPr="00512B2D">
        <w:rPr>
          <w:rFonts w:ascii="Bookman Old Style" w:hAnsi="Bookman Old Style"/>
          <w:bCs/>
          <w:sz w:val="22"/>
          <w:szCs w:val="22"/>
        </w:rPr>
        <w:t>…</w:t>
      </w:r>
      <w:proofErr w:type="gramStart"/>
      <w:r w:rsidRPr="00512B2D">
        <w:rPr>
          <w:rFonts w:ascii="Bookman Old Style" w:hAnsi="Bookman Old Style"/>
          <w:bCs/>
          <w:sz w:val="22"/>
          <w:szCs w:val="22"/>
        </w:rPr>
        <w:t xml:space="preserve">…….. </w:t>
      </w:r>
      <w:r w:rsidRPr="00D23E66">
        <w:rPr>
          <w:rFonts w:ascii="Bookman Old Style" w:hAnsi="Bookman Old Style"/>
          <w:sz w:val="22"/>
          <w:szCs w:val="22"/>
        </w:rPr>
        <w:t>;</w:t>
      </w:r>
      <w:proofErr w:type="gramEnd"/>
    </w:p>
    <w:p w14:paraId="70807F71" w14:textId="6961E058" w:rsidR="007650D3" w:rsidRPr="00D23E66" w:rsidRDefault="007650D3" w:rsidP="007650D3">
      <w:pPr>
        <w:pStyle w:val="Rientrocorpodeltesto"/>
        <w:spacing w:after="120" w:line="288" w:lineRule="auto"/>
        <w:rPr>
          <w:rFonts w:ascii="Bookman Old Style" w:hAnsi="Bookman Old Style"/>
          <w:sz w:val="22"/>
          <w:szCs w:val="22"/>
        </w:rPr>
      </w:pPr>
      <w:r w:rsidRPr="004B2FD8">
        <w:rPr>
          <w:rFonts w:ascii="Bookman Old Style" w:hAnsi="Bookman Old Style"/>
          <w:sz w:val="22"/>
          <w:szCs w:val="22"/>
        </w:rPr>
        <w:t xml:space="preserve">b) ovvero, </w:t>
      </w:r>
      <w:r w:rsidR="00BC4E86" w:rsidRPr="004B2FD8">
        <w:rPr>
          <w:rFonts w:ascii="Bookman Old Style" w:hAnsi="Bookman Old Style"/>
          <w:sz w:val="22"/>
          <w:szCs w:val="22"/>
        </w:rPr>
        <w:t xml:space="preserve">nel caso di importi superiori ad euro mille, </w:t>
      </w:r>
      <w:r w:rsidRPr="004B2FD8">
        <w:rPr>
          <w:rFonts w:ascii="Bookman Old Style" w:hAnsi="Bookman Old Style"/>
          <w:sz w:val="22"/>
          <w:szCs w:val="22"/>
        </w:rPr>
        <w:t xml:space="preserve">versamento nel numero massimo di </w:t>
      </w:r>
      <w:r w:rsidR="008F6903" w:rsidRPr="004B2FD8">
        <w:rPr>
          <w:rFonts w:ascii="Bookman Old Style" w:hAnsi="Bookman Old Style"/>
          <w:sz w:val="22"/>
          <w:szCs w:val="22"/>
        </w:rPr>
        <w:t>d</w:t>
      </w:r>
      <w:r w:rsidR="00BC4E86" w:rsidRPr="004B2FD8">
        <w:rPr>
          <w:rFonts w:ascii="Bookman Old Style" w:hAnsi="Bookman Old Style"/>
          <w:sz w:val="22"/>
          <w:szCs w:val="22"/>
        </w:rPr>
        <w:t>odici</w:t>
      </w:r>
      <w:r w:rsidR="008F6903" w:rsidRPr="004B2FD8">
        <w:rPr>
          <w:rFonts w:ascii="Bookman Old Style" w:hAnsi="Bookman Old Style"/>
          <w:sz w:val="22"/>
          <w:szCs w:val="22"/>
        </w:rPr>
        <w:t xml:space="preserve"> </w:t>
      </w:r>
      <w:r w:rsidRPr="004E2FF6">
        <w:rPr>
          <w:rFonts w:ascii="Bookman Old Style" w:hAnsi="Bookman Old Style"/>
          <w:sz w:val="22"/>
          <w:szCs w:val="22"/>
        </w:rPr>
        <w:t>rate</w:t>
      </w:r>
      <w:r w:rsidR="00874086" w:rsidRPr="004E2FF6">
        <w:rPr>
          <w:rFonts w:ascii="Bookman Old Style" w:hAnsi="Bookman Old Style"/>
          <w:sz w:val="22"/>
          <w:szCs w:val="22"/>
        </w:rPr>
        <w:t xml:space="preserve"> mensil</w:t>
      </w:r>
      <w:r w:rsidR="00BC4E86" w:rsidRPr="004E2FF6">
        <w:rPr>
          <w:rFonts w:ascii="Bookman Old Style" w:hAnsi="Bookman Old Style"/>
          <w:sz w:val="22"/>
          <w:szCs w:val="22"/>
        </w:rPr>
        <w:t>i</w:t>
      </w:r>
      <w:r w:rsidR="00FE3726" w:rsidRPr="004E2FF6">
        <w:rPr>
          <w:rStyle w:val="Rimandonotaapidipagina"/>
          <w:rFonts w:ascii="Bookman Old Style" w:hAnsi="Bookman Old Style"/>
          <w:sz w:val="22"/>
          <w:szCs w:val="22"/>
        </w:rPr>
        <w:footnoteReference w:id="51"/>
      </w:r>
      <w:r w:rsidRPr="004B2FD8">
        <w:rPr>
          <w:rFonts w:ascii="Bookman Old Style" w:hAnsi="Bookman Old Style"/>
          <w:sz w:val="22"/>
          <w:szCs w:val="22"/>
        </w:rPr>
        <w:t>, la prima di importo pari a</w:t>
      </w:r>
      <w:r w:rsidR="008F6903" w:rsidRPr="004B2FD8">
        <w:rPr>
          <w:rFonts w:ascii="Bookman Old Style" w:hAnsi="Bookman Old Style"/>
          <w:sz w:val="22"/>
          <w:szCs w:val="22"/>
        </w:rPr>
        <w:t xml:space="preserve">l </w:t>
      </w:r>
      <w:r w:rsidR="00AC7D64" w:rsidRPr="004B2FD8">
        <w:rPr>
          <w:rFonts w:ascii="Bookman Old Style" w:hAnsi="Bookman Old Style"/>
          <w:sz w:val="22"/>
          <w:szCs w:val="22"/>
        </w:rPr>
        <w:t>20</w:t>
      </w:r>
      <w:r w:rsidR="008F6903" w:rsidRPr="004B2FD8">
        <w:rPr>
          <w:rFonts w:ascii="Bookman Old Style" w:hAnsi="Bookman Old Style"/>
          <w:sz w:val="22"/>
          <w:szCs w:val="22"/>
        </w:rPr>
        <w:t xml:space="preserve">% di quello </w:t>
      </w:r>
      <w:r w:rsidR="00023E8C" w:rsidRPr="004B2FD8">
        <w:rPr>
          <w:rFonts w:ascii="Bookman Old Style" w:hAnsi="Bookman Old Style"/>
          <w:sz w:val="22"/>
          <w:szCs w:val="22"/>
        </w:rPr>
        <w:t>dovuto per la prima annualità</w:t>
      </w:r>
      <w:r w:rsidR="008F6903" w:rsidRPr="004B2FD8">
        <w:rPr>
          <w:rStyle w:val="Rimandonotaapidipagina"/>
          <w:rFonts w:ascii="Bookman Old Style" w:hAnsi="Bookman Old Style"/>
          <w:sz w:val="22"/>
          <w:szCs w:val="22"/>
        </w:rPr>
        <w:footnoteReference w:id="52"/>
      </w:r>
      <w:r w:rsidR="00023E8C" w:rsidRPr="004B2FD8">
        <w:rPr>
          <w:rFonts w:ascii="Bookman Old Style" w:hAnsi="Bookman Old Style"/>
          <w:sz w:val="22"/>
          <w:szCs w:val="22"/>
        </w:rPr>
        <w:t xml:space="preserve"> oggetto di definizione</w:t>
      </w:r>
      <w:r w:rsidRPr="004B2FD8">
        <w:rPr>
          <w:rFonts w:ascii="Bookman Old Style" w:hAnsi="Bookman Old Style"/>
          <w:sz w:val="22"/>
          <w:szCs w:val="22"/>
        </w:rPr>
        <w:t xml:space="preserve">, con scadenza al </w:t>
      </w:r>
      <w:r w:rsidRPr="004B2FD8">
        <w:rPr>
          <w:rFonts w:ascii="Bookman Old Style" w:hAnsi="Bookman Old Style"/>
          <w:bCs/>
          <w:sz w:val="22"/>
          <w:szCs w:val="22"/>
        </w:rPr>
        <w:t>…</w:t>
      </w:r>
      <w:proofErr w:type="gramStart"/>
      <w:r w:rsidRPr="004B2FD8">
        <w:rPr>
          <w:rFonts w:ascii="Bookman Old Style" w:hAnsi="Bookman Old Style"/>
          <w:bCs/>
          <w:sz w:val="22"/>
          <w:szCs w:val="22"/>
        </w:rPr>
        <w:t>…….</w:t>
      </w:r>
      <w:proofErr w:type="gramEnd"/>
      <w:r w:rsidRPr="004B2FD8">
        <w:rPr>
          <w:rFonts w:ascii="Bookman Old Style" w:hAnsi="Bookman Old Style"/>
          <w:bCs/>
          <w:sz w:val="22"/>
          <w:szCs w:val="22"/>
        </w:rPr>
        <w:t>.</w:t>
      </w:r>
      <w:r w:rsidRPr="004B2FD8">
        <w:rPr>
          <w:rFonts w:ascii="Bookman Old Style" w:hAnsi="Bookman Old Style"/>
          <w:sz w:val="22"/>
          <w:szCs w:val="22"/>
        </w:rPr>
        <w:t xml:space="preserve"> </w:t>
      </w:r>
      <w:proofErr w:type="gramStart"/>
      <w:r w:rsidRPr="004B2FD8">
        <w:rPr>
          <w:rFonts w:ascii="Bookman Old Style" w:hAnsi="Bookman Old Style"/>
          <w:bCs/>
          <w:sz w:val="22"/>
          <w:szCs w:val="22"/>
        </w:rPr>
        <w:t>(</w:t>
      </w:r>
      <w:r w:rsidRPr="004B2FD8">
        <w:rPr>
          <w:rFonts w:ascii="Bookman Old Style" w:hAnsi="Bookman Old Style"/>
          <w:bCs/>
          <w:i/>
          <w:iCs/>
          <w:color w:val="FF0000"/>
          <w:sz w:val="22"/>
          <w:szCs w:val="22"/>
        </w:rPr>
        <w:t xml:space="preserve"> indicare</w:t>
      </w:r>
      <w:proofErr w:type="gramEnd"/>
      <w:r w:rsidRPr="004B2FD8">
        <w:rPr>
          <w:rFonts w:ascii="Bookman Old Style" w:hAnsi="Bookman Old Style"/>
          <w:bCs/>
          <w:i/>
          <w:iCs/>
          <w:color w:val="FF0000"/>
          <w:sz w:val="22"/>
          <w:szCs w:val="22"/>
        </w:rPr>
        <w:t xml:space="preserve"> </w:t>
      </w:r>
      <w:r w:rsidR="00AC7D64" w:rsidRPr="004B2FD8">
        <w:rPr>
          <w:rFonts w:ascii="Bookman Old Style" w:hAnsi="Bookman Old Style"/>
          <w:bCs/>
          <w:i/>
          <w:iCs/>
          <w:color w:val="FF0000"/>
          <w:sz w:val="22"/>
          <w:szCs w:val="22"/>
        </w:rPr>
        <w:t xml:space="preserve">la </w:t>
      </w:r>
      <w:r w:rsidRPr="004B2FD8">
        <w:rPr>
          <w:rFonts w:ascii="Bookman Old Style" w:hAnsi="Bookman Old Style"/>
          <w:bCs/>
          <w:i/>
          <w:iCs/>
          <w:color w:val="FF0000"/>
          <w:sz w:val="22"/>
          <w:szCs w:val="22"/>
        </w:rPr>
        <w:t>scadenz</w:t>
      </w:r>
      <w:r w:rsidR="009D27DF" w:rsidRPr="004B2FD8">
        <w:rPr>
          <w:rFonts w:ascii="Bookman Old Style" w:hAnsi="Bookman Old Style"/>
          <w:bCs/>
          <w:i/>
          <w:iCs/>
          <w:color w:val="FF0000"/>
          <w:sz w:val="22"/>
          <w:szCs w:val="22"/>
        </w:rPr>
        <w:t>a</w:t>
      </w:r>
      <w:r w:rsidRPr="004B2FD8">
        <w:rPr>
          <w:rFonts w:ascii="Bookman Old Style" w:hAnsi="Bookman Old Style"/>
          <w:bCs/>
          <w:i/>
          <w:iCs/>
          <w:color w:val="FF0000"/>
          <w:sz w:val="22"/>
          <w:szCs w:val="22"/>
        </w:rPr>
        <w:t xml:space="preserve"> </w:t>
      </w:r>
      <w:r w:rsidR="00AC7D64" w:rsidRPr="004B2FD8">
        <w:rPr>
          <w:rFonts w:ascii="Bookman Old Style" w:hAnsi="Bookman Old Style"/>
          <w:bCs/>
          <w:i/>
          <w:iCs/>
          <w:color w:val="FF0000"/>
          <w:sz w:val="22"/>
          <w:szCs w:val="22"/>
        </w:rPr>
        <w:t xml:space="preserve">della prima </w:t>
      </w:r>
      <w:r w:rsidRPr="004B2FD8">
        <w:rPr>
          <w:rFonts w:ascii="Bookman Old Style" w:hAnsi="Bookman Old Style"/>
          <w:bCs/>
          <w:i/>
          <w:iCs/>
          <w:color w:val="FF0000"/>
          <w:sz w:val="22"/>
          <w:szCs w:val="22"/>
        </w:rPr>
        <w:t>rat</w:t>
      </w:r>
      <w:r w:rsidR="00AC7D64" w:rsidRPr="004B2FD8">
        <w:rPr>
          <w:rFonts w:ascii="Bookman Old Style" w:hAnsi="Bookman Old Style"/>
          <w:bCs/>
          <w:i/>
          <w:iCs/>
          <w:color w:val="FF0000"/>
          <w:sz w:val="22"/>
          <w:szCs w:val="22"/>
        </w:rPr>
        <w:t>a</w:t>
      </w:r>
      <w:r w:rsidRPr="004B2FD8">
        <w:rPr>
          <w:rFonts w:ascii="Bookman Old Style" w:hAnsi="Bookman Old Style"/>
          <w:sz w:val="22"/>
          <w:szCs w:val="22"/>
        </w:rPr>
        <w:t xml:space="preserve">) e le restanti </w:t>
      </w:r>
      <w:r w:rsidR="009D27DF" w:rsidRPr="004B2FD8">
        <w:rPr>
          <w:rFonts w:ascii="Bookman Old Style" w:hAnsi="Bookman Old Style"/>
          <w:sz w:val="22"/>
          <w:szCs w:val="22"/>
        </w:rPr>
        <w:t>rate</w:t>
      </w:r>
      <w:r w:rsidRPr="004B2FD8">
        <w:rPr>
          <w:rFonts w:ascii="Bookman Old Style" w:hAnsi="Bookman Old Style"/>
          <w:sz w:val="22"/>
          <w:szCs w:val="22"/>
        </w:rPr>
        <w:t>, di pari ammontare, con scadenza ……………</w:t>
      </w:r>
      <w:proofErr w:type="gramStart"/>
      <w:r w:rsidRPr="004B2FD8">
        <w:rPr>
          <w:rFonts w:ascii="Bookman Old Style" w:hAnsi="Bookman Old Style"/>
          <w:sz w:val="22"/>
          <w:szCs w:val="22"/>
        </w:rPr>
        <w:t>…….</w:t>
      </w:r>
      <w:proofErr w:type="gramEnd"/>
      <w:r w:rsidRPr="004B2FD8">
        <w:rPr>
          <w:rFonts w:ascii="Bookman Old Style" w:hAnsi="Bookman Old Style"/>
          <w:sz w:val="22"/>
          <w:szCs w:val="22"/>
        </w:rPr>
        <w:t>.;</w:t>
      </w:r>
      <w:r w:rsidR="008F6903" w:rsidRPr="004B2FD8">
        <w:rPr>
          <w:rStyle w:val="Rimandonotaapidipagina"/>
          <w:rFonts w:ascii="Bookman Old Style" w:hAnsi="Bookman Old Style"/>
          <w:sz w:val="22"/>
          <w:szCs w:val="22"/>
        </w:rPr>
        <w:footnoteReference w:id="53"/>
      </w:r>
      <w:r w:rsidRPr="00D23E66">
        <w:rPr>
          <w:rFonts w:ascii="Bookman Old Style" w:hAnsi="Bookman Old Style"/>
          <w:sz w:val="22"/>
          <w:szCs w:val="22"/>
        </w:rPr>
        <w:t xml:space="preserve"> </w:t>
      </w:r>
    </w:p>
    <w:p w14:paraId="0CA61122" w14:textId="77777777" w:rsidR="007650D3" w:rsidRDefault="007650D3" w:rsidP="007650D3">
      <w:pPr>
        <w:pStyle w:val="Rientrocorpodeltesto"/>
        <w:spacing w:after="120" w:line="288" w:lineRule="auto"/>
        <w:rPr>
          <w:rFonts w:ascii="Bookman Old Style" w:hAnsi="Bookman Old Style"/>
          <w:sz w:val="22"/>
          <w:szCs w:val="22"/>
        </w:rPr>
      </w:pPr>
      <w:r w:rsidRPr="00554616">
        <w:rPr>
          <w:rFonts w:ascii="Bookman Old Style" w:hAnsi="Bookman Old Style"/>
          <w:sz w:val="22"/>
          <w:szCs w:val="22"/>
        </w:rPr>
        <w:t>c) esclusione della compensazione con crediti tributari del debitore</w:t>
      </w:r>
      <w:r w:rsidR="00496906" w:rsidRPr="00554616">
        <w:rPr>
          <w:rStyle w:val="Rimandonotaapidipagina"/>
          <w:rFonts w:ascii="Bookman Old Style" w:hAnsi="Bookman Old Style"/>
          <w:sz w:val="22"/>
          <w:szCs w:val="22"/>
        </w:rPr>
        <w:footnoteReference w:id="54"/>
      </w:r>
      <w:r w:rsidRPr="00554616">
        <w:rPr>
          <w:rFonts w:ascii="Bookman Old Style" w:hAnsi="Bookman Old Style"/>
          <w:sz w:val="22"/>
          <w:szCs w:val="22"/>
        </w:rPr>
        <w:t>.</w:t>
      </w:r>
    </w:p>
    <w:p w14:paraId="0BE168EA" w14:textId="5CDF88B2" w:rsidR="009D27DF" w:rsidRPr="00D12223" w:rsidRDefault="005D0C5C" w:rsidP="009D27DF">
      <w:pPr>
        <w:pStyle w:val="Rientrocorpodeltesto"/>
        <w:spacing w:after="120" w:line="288" w:lineRule="auto"/>
        <w:rPr>
          <w:rFonts w:ascii="Bookman Old Style" w:hAnsi="Bookman Old Style"/>
          <w:sz w:val="22"/>
          <w:szCs w:val="22"/>
        </w:rPr>
      </w:pPr>
      <w:r w:rsidRPr="004B2FD8">
        <w:rPr>
          <w:rFonts w:ascii="Bookman Old Style" w:hAnsi="Bookman Old Style"/>
          <w:sz w:val="22"/>
          <w:szCs w:val="22"/>
        </w:rPr>
        <w:t xml:space="preserve">3 </w:t>
      </w:r>
      <w:r w:rsidR="009D27DF" w:rsidRPr="004E2FF6">
        <w:rPr>
          <w:rFonts w:ascii="Bookman Old Style" w:hAnsi="Bookman Old Style"/>
          <w:sz w:val="22"/>
          <w:szCs w:val="22"/>
        </w:rPr>
        <w:t xml:space="preserve">Nel caso delle entrate di cui alle lettere </w:t>
      </w:r>
      <w:r w:rsidR="00271603" w:rsidRPr="004E2FF6">
        <w:rPr>
          <w:rFonts w:ascii="Bookman Old Style" w:hAnsi="Bookman Old Style"/>
          <w:sz w:val="22"/>
          <w:szCs w:val="22"/>
        </w:rPr>
        <w:t>…</w:t>
      </w:r>
      <w:r w:rsidR="00073661" w:rsidRPr="004E2FF6">
        <w:rPr>
          <w:rFonts w:ascii="Bookman Old Style" w:hAnsi="Bookman Old Style"/>
          <w:sz w:val="22"/>
          <w:szCs w:val="22"/>
        </w:rPr>
        <w:t>…… (</w:t>
      </w:r>
      <w:r w:rsidR="00073661" w:rsidRPr="004E2FF6">
        <w:rPr>
          <w:rFonts w:ascii="Bookman Old Style" w:hAnsi="Bookman Old Style"/>
          <w:i/>
          <w:iCs/>
          <w:sz w:val="22"/>
          <w:szCs w:val="22"/>
        </w:rPr>
        <w:t xml:space="preserve">quelle ad importo non calcolabile dal </w:t>
      </w:r>
      <w:r w:rsidR="00271603" w:rsidRPr="004E2FF6">
        <w:rPr>
          <w:rFonts w:ascii="Bookman Old Style" w:hAnsi="Bookman Old Style"/>
          <w:i/>
          <w:iCs/>
          <w:sz w:val="22"/>
          <w:szCs w:val="22"/>
        </w:rPr>
        <w:t xml:space="preserve">Comune) </w:t>
      </w:r>
      <w:r w:rsidR="009D27DF" w:rsidRPr="004E2FF6">
        <w:rPr>
          <w:rFonts w:ascii="Bookman Old Style" w:hAnsi="Bookman Old Style"/>
          <w:sz w:val="22"/>
          <w:szCs w:val="22"/>
        </w:rPr>
        <w:t xml:space="preserve">dell’articolo 1 della presente Parte V, l’importo è quello indicato dal richiedente nel modello di richiesta e il numero di rate con le relative scadenze è quello riportato nel modello stesso quale scelta del richiedente basata sulle opzioni proposte in conformità con i criteri di cui al comma </w:t>
      </w:r>
      <w:r w:rsidR="004B2FD8" w:rsidRPr="004E2FF6">
        <w:rPr>
          <w:rFonts w:ascii="Bookman Old Style" w:hAnsi="Bookman Old Style"/>
          <w:sz w:val="22"/>
          <w:szCs w:val="22"/>
        </w:rPr>
        <w:t>2</w:t>
      </w:r>
      <w:r w:rsidRPr="004E2FF6">
        <w:rPr>
          <w:rFonts w:ascii="Bookman Old Style" w:hAnsi="Bookman Old Style"/>
          <w:sz w:val="22"/>
          <w:szCs w:val="22"/>
        </w:rPr>
        <w:t>.</w:t>
      </w:r>
    </w:p>
    <w:p w14:paraId="59EBFB39" w14:textId="5371B051" w:rsidR="007650D3" w:rsidRDefault="005D0C5C" w:rsidP="007650D3">
      <w:pPr>
        <w:pStyle w:val="Rientrocorpodeltesto"/>
        <w:spacing w:after="120" w:line="288" w:lineRule="auto"/>
        <w:rPr>
          <w:rFonts w:ascii="Bookman Old Style" w:hAnsi="Bookman Old Style"/>
          <w:sz w:val="22"/>
          <w:szCs w:val="22"/>
        </w:rPr>
      </w:pPr>
      <w:r>
        <w:rPr>
          <w:rFonts w:ascii="Bookman Old Style" w:hAnsi="Bookman Old Style"/>
          <w:sz w:val="22"/>
          <w:szCs w:val="22"/>
        </w:rPr>
        <w:t>4</w:t>
      </w:r>
      <w:r w:rsidR="007650D3" w:rsidRPr="00D23E66">
        <w:rPr>
          <w:rFonts w:ascii="Bookman Old Style" w:hAnsi="Bookman Old Style"/>
          <w:sz w:val="22"/>
          <w:szCs w:val="22"/>
        </w:rPr>
        <w:t xml:space="preserve">. Nel caso di versamento dilazionato in rate si applicano, a decorrere dal giorno successivo alla scadenza della prima rata, gli interessi al tasso </w:t>
      </w:r>
      <w:r w:rsidR="007650D3">
        <w:rPr>
          <w:rFonts w:ascii="Bookman Old Style" w:hAnsi="Bookman Old Style"/>
          <w:sz w:val="22"/>
          <w:szCs w:val="22"/>
        </w:rPr>
        <w:t xml:space="preserve">legale maggiorato </w:t>
      </w:r>
      <w:r w:rsidR="007650D3" w:rsidRPr="00D23E66">
        <w:rPr>
          <w:rFonts w:ascii="Bookman Old Style" w:hAnsi="Bookman Old Style"/>
          <w:sz w:val="22"/>
          <w:szCs w:val="22"/>
        </w:rPr>
        <w:t xml:space="preserve">del </w:t>
      </w:r>
      <w:r w:rsidR="007650D3" w:rsidRPr="00D23E66">
        <w:rPr>
          <w:rFonts w:ascii="Bookman Old Style" w:hAnsi="Bookman Old Style"/>
          <w:b/>
          <w:bCs/>
          <w:sz w:val="22"/>
          <w:szCs w:val="22"/>
        </w:rPr>
        <w:t>2 per cento annuo</w:t>
      </w:r>
      <w:r w:rsidR="007650D3" w:rsidRPr="00D23E66">
        <w:rPr>
          <w:rStyle w:val="Rimandonotaapidipagina"/>
          <w:rFonts w:ascii="Bookman Old Style" w:hAnsi="Bookman Old Style"/>
          <w:sz w:val="22"/>
          <w:szCs w:val="22"/>
        </w:rPr>
        <w:footnoteReference w:id="55"/>
      </w:r>
      <w:r w:rsidR="007650D3" w:rsidRPr="00D23E66">
        <w:rPr>
          <w:rFonts w:ascii="Bookman Old Style" w:hAnsi="Bookman Old Style"/>
          <w:sz w:val="22"/>
          <w:szCs w:val="22"/>
        </w:rPr>
        <w:t xml:space="preserve">. </w:t>
      </w:r>
    </w:p>
    <w:p w14:paraId="4D11AA8C" w14:textId="4B85F608" w:rsidR="006A1476" w:rsidRPr="00D23E66" w:rsidRDefault="005D0C5C" w:rsidP="007650D3">
      <w:pPr>
        <w:pStyle w:val="Rientrocorpodeltesto"/>
        <w:spacing w:after="120" w:line="288" w:lineRule="auto"/>
        <w:rPr>
          <w:rFonts w:ascii="Bookman Old Style" w:hAnsi="Bookman Old Style"/>
          <w:sz w:val="22"/>
          <w:szCs w:val="22"/>
        </w:rPr>
      </w:pPr>
      <w:r>
        <w:rPr>
          <w:rFonts w:ascii="Bookman Old Style" w:hAnsi="Bookman Old Style"/>
          <w:sz w:val="22"/>
          <w:szCs w:val="22"/>
        </w:rPr>
        <w:t>5</w:t>
      </w:r>
      <w:r w:rsidR="006A1476" w:rsidRPr="00D6368E">
        <w:rPr>
          <w:rFonts w:ascii="Bookman Old Style" w:hAnsi="Bookman Old Style"/>
          <w:sz w:val="22"/>
          <w:szCs w:val="22"/>
        </w:rPr>
        <w:t>. Nel c</w:t>
      </w:r>
      <w:r w:rsidR="00E712F3" w:rsidRPr="00D6368E">
        <w:rPr>
          <w:rFonts w:ascii="Bookman Old Style" w:hAnsi="Bookman Old Style"/>
          <w:sz w:val="22"/>
          <w:szCs w:val="22"/>
        </w:rPr>
        <w:t>aso in cui la definizione comporti l’obbligo di presentazione della dichiarazione omessa, senza alcun versamento di importi, la stessa si intende perfezionata con la presentazione della dichiarazione.</w:t>
      </w:r>
    </w:p>
    <w:p w14:paraId="39C8ABD4" w14:textId="6D3C6C3E" w:rsidR="007650D3" w:rsidRPr="00D23E66" w:rsidRDefault="005D0C5C" w:rsidP="007650D3">
      <w:pPr>
        <w:pStyle w:val="Rientrocorpodeltesto"/>
        <w:spacing w:after="120" w:line="288" w:lineRule="auto"/>
        <w:rPr>
          <w:rFonts w:ascii="Bookman Old Style" w:hAnsi="Bookman Old Style"/>
          <w:sz w:val="22"/>
          <w:szCs w:val="22"/>
        </w:rPr>
      </w:pPr>
      <w:r>
        <w:rPr>
          <w:rFonts w:ascii="Bookman Old Style" w:hAnsi="Bookman Old Style"/>
          <w:sz w:val="22"/>
          <w:szCs w:val="22"/>
        </w:rPr>
        <w:t>6</w:t>
      </w:r>
      <w:r w:rsidR="007650D3" w:rsidRPr="00D23E66">
        <w:rPr>
          <w:rFonts w:ascii="Bookman Old Style" w:hAnsi="Bookman Old Style"/>
          <w:sz w:val="22"/>
          <w:szCs w:val="22"/>
        </w:rPr>
        <w:t>. Con la comunicazione di cui al comma 2, il Comune (</w:t>
      </w:r>
      <w:r w:rsidR="007650D3" w:rsidRPr="00D23E66">
        <w:rPr>
          <w:rFonts w:ascii="Bookman Old Style" w:hAnsi="Bookman Old Style"/>
          <w:i/>
          <w:color w:val="FF0000"/>
          <w:sz w:val="22"/>
          <w:szCs w:val="22"/>
        </w:rPr>
        <w:t xml:space="preserve">o il </w:t>
      </w:r>
      <w:proofErr w:type="gramStart"/>
      <w:r w:rsidR="007650D3" w:rsidRPr="00D23E66">
        <w:rPr>
          <w:rFonts w:ascii="Bookman Old Style" w:hAnsi="Bookman Old Style"/>
          <w:i/>
          <w:color w:val="FF0000"/>
          <w:sz w:val="22"/>
          <w:szCs w:val="22"/>
        </w:rPr>
        <w:t>concessionario….</w:t>
      </w:r>
      <w:proofErr w:type="gramEnd"/>
      <w:r w:rsidR="007650D3" w:rsidRPr="00D23E66">
        <w:rPr>
          <w:rFonts w:ascii="Bookman Old Style" w:hAnsi="Bookman Old Style"/>
          <w:i/>
          <w:color w:val="FF0000"/>
          <w:sz w:val="22"/>
          <w:szCs w:val="22"/>
        </w:rPr>
        <w:t>. o la società in house</w:t>
      </w:r>
      <w:r w:rsidR="007650D3" w:rsidRPr="00D23E66">
        <w:rPr>
          <w:rFonts w:ascii="Bookman Old Style" w:hAnsi="Bookman Old Style"/>
          <w:i/>
          <w:sz w:val="22"/>
          <w:szCs w:val="22"/>
        </w:rPr>
        <w:t>)</w:t>
      </w:r>
      <w:r w:rsidR="007650D3" w:rsidRPr="00D23E66">
        <w:rPr>
          <w:rFonts w:ascii="Bookman Old Style" w:hAnsi="Bookman Old Style"/>
          <w:sz w:val="22"/>
          <w:szCs w:val="22"/>
        </w:rPr>
        <w:t xml:space="preserve"> indica anche l'eventuale diniego alla definizione agevolata, totale e parziale. </w:t>
      </w:r>
    </w:p>
    <w:p w14:paraId="6274BE3A" w14:textId="77777777" w:rsidR="007650D3" w:rsidRDefault="007650D3" w:rsidP="007650D3">
      <w:pPr>
        <w:pStyle w:val="Rientrocorpodeltesto"/>
        <w:spacing w:after="120" w:line="288" w:lineRule="auto"/>
        <w:rPr>
          <w:rFonts w:ascii="Bookman Old Style" w:hAnsi="Bookman Old Style"/>
          <w:sz w:val="22"/>
          <w:szCs w:val="22"/>
        </w:rPr>
      </w:pPr>
    </w:p>
    <w:p w14:paraId="1783F4FB" w14:textId="77777777" w:rsidR="009D27DF" w:rsidRPr="00D23E66" w:rsidRDefault="009D27DF" w:rsidP="007650D3">
      <w:pPr>
        <w:pStyle w:val="Rientrocorpodeltesto"/>
        <w:spacing w:after="120" w:line="288" w:lineRule="auto"/>
        <w:rPr>
          <w:rFonts w:ascii="Bookman Old Style" w:hAnsi="Bookman Old Style"/>
          <w:sz w:val="22"/>
          <w:szCs w:val="22"/>
        </w:rPr>
      </w:pPr>
    </w:p>
    <w:p w14:paraId="33B2AB96" w14:textId="144F092F" w:rsidR="008D4A34" w:rsidRPr="00D23E66" w:rsidRDefault="004E2FF6" w:rsidP="008D4A34">
      <w:pPr>
        <w:pStyle w:val="Titolo3"/>
        <w:spacing w:after="120" w:line="288" w:lineRule="auto"/>
        <w:jc w:val="left"/>
        <w:rPr>
          <w:rFonts w:ascii="Bookman Old Style" w:hAnsi="Bookman Old Style"/>
          <w:i/>
          <w:sz w:val="22"/>
          <w:szCs w:val="22"/>
        </w:rPr>
      </w:pPr>
      <w:bookmarkStart w:id="42" w:name="_Toc218672129"/>
      <w:r w:rsidRPr="00D23E66">
        <w:rPr>
          <w:rFonts w:ascii="Bookman Old Style" w:hAnsi="Bookman Old Style"/>
          <w:sz w:val="22"/>
          <w:szCs w:val="22"/>
        </w:rPr>
        <w:lastRenderedPageBreak/>
        <w:t>Articolo</w:t>
      </w:r>
      <w:r w:rsidR="008D4A34" w:rsidRPr="00D23E66">
        <w:rPr>
          <w:rFonts w:ascii="Bookman Old Style" w:hAnsi="Bookman Old Style"/>
          <w:sz w:val="22"/>
          <w:szCs w:val="22"/>
        </w:rPr>
        <w:t xml:space="preserve"> 4 </w:t>
      </w:r>
      <w:r w:rsidR="008D4A34" w:rsidRPr="00D23E66">
        <w:rPr>
          <w:rFonts w:ascii="Bookman Old Style" w:hAnsi="Bookman Old Style"/>
          <w:i/>
          <w:sz w:val="22"/>
          <w:szCs w:val="22"/>
        </w:rPr>
        <w:t xml:space="preserve">– </w:t>
      </w:r>
      <w:r w:rsidR="008D4A34" w:rsidRPr="00CC47B6">
        <w:rPr>
          <w:rFonts w:ascii="Bookman Old Style" w:hAnsi="Bookman Old Style"/>
          <w:iCs/>
          <w:sz w:val="22"/>
          <w:szCs w:val="22"/>
        </w:rPr>
        <w:t>Effetti della definizione agevolata</w:t>
      </w:r>
      <w:bookmarkEnd w:id="42"/>
    </w:p>
    <w:p w14:paraId="686D5E46" w14:textId="77777777" w:rsidR="00FE47D4" w:rsidRDefault="00023E8C" w:rsidP="008D4A34">
      <w:pPr>
        <w:pStyle w:val="Rientrocorpodeltesto"/>
        <w:spacing w:after="120" w:line="288" w:lineRule="auto"/>
        <w:rPr>
          <w:rFonts w:ascii="Bookman Old Style" w:hAnsi="Bookman Old Style"/>
          <w:sz w:val="22"/>
          <w:szCs w:val="22"/>
        </w:rPr>
      </w:pPr>
      <w:r>
        <w:rPr>
          <w:rFonts w:ascii="Bookman Old Style" w:hAnsi="Bookman Old Style"/>
          <w:sz w:val="22"/>
          <w:szCs w:val="22"/>
        </w:rPr>
        <w:t>1</w:t>
      </w:r>
      <w:r w:rsidR="008D4A34" w:rsidRPr="00D23E66">
        <w:rPr>
          <w:rFonts w:ascii="Bookman Old Style" w:hAnsi="Bookman Old Style"/>
          <w:sz w:val="22"/>
          <w:szCs w:val="22"/>
        </w:rPr>
        <w:t>.  In caso di mancato ovvero di insufficiente o tardivo versamento, superiore a cinque giorni</w:t>
      </w:r>
      <w:r w:rsidR="00E01DAB">
        <w:rPr>
          <w:rFonts w:ascii="Bookman Old Style" w:hAnsi="Bookman Old Style"/>
          <w:sz w:val="22"/>
          <w:szCs w:val="22"/>
        </w:rPr>
        <w:t xml:space="preserve"> rispetto alla scadenza stabilita</w:t>
      </w:r>
      <w:r w:rsidR="008D4A34" w:rsidRPr="00D23E66">
        <w:rPr>
          <w:rFonts w:ascii="Bookman Old Style" w:hAnsi="Bookman Old Style"/>
          <w:sz w:val="22"/>
          <w:szCs w:val="22"/>
        </w:rPr>
        <w:t>, dell'unica rata ovvero di una di quelle in cui è stato dilazionato il pagamento delle somme, la definizione non produce effetti. In tal caso, relativamente ai debiti per i quali la definizione non ha prodotto effetti, i versamenti effettuati sono acquisiti a titolo di acconto dell'importo complessivamente dovuto</w:t>
      </w:r>
      <w:r w:rsidR="00FE47D4">
        <w:rPr>
          <w:rFonts w:ascii="Bookman Old Style" w:hAnsi="Bookman Old Style"/>
          <w:sz w:val="22"/>
          <w:szCs w:val="22"/>
        </w:rPr>
        <w:t xml:space="preserve"> e l’ente procede alla notifica degli atti di accertamento nel rispetto dei termini decadenziali, di cui all’articolo 1, comma 161, legge 27 dicembre 2006, e di quelli prescrizionali</w:t>
      </w:r>
      <w:r w:rsidR="00FE47D4">
        <w:rPr>
          <w:rStyle w:val="Rimandonotaapidipagina"/>
          <w:rFonts w:ascii="Bookman Old Style" w:hAnsi="Bookman Old Style"/>
          <w:sz w:val="22"/>
          <w:szCs w:val="22"/>
        </w:rPr>
        <w:footnoteReference w:id="56"/>
      </w:r>
      <w:r w:rsidR="008D4A34" w:rsidRPr="00D23E66">
        <w:rPr>
          <w:rFonts w:ascii="Bookman Old Style" w:hAnsi="Bookman Old Style"/>
          <w:sz w:val="22"/>
          <w:szCs w:val="22"/>
        </w:rPr>
        <w:t>.</w:t>
      </w:r>
      <w:r w:rsidR="00FE47D4">
        <w:rPr>
          <w:rFonts w:ascii="Bookman Old Style" w:hAnsi="Bookman Old Style"/>
          <w:sz w:val="22"/>
          <w:szCs w:val="22"/>
        </w:rPr>
        <w:t xml:space="preserve"> </w:t>
      </w:r>
    </w:p>
    <w:p w14:paraId="46C699E4" w14:textId="77777777" w:rsidR="00FE47D4" w:rsidRDefault="00FE47D4" w:rsidP="008D4A34">
      <w:pPr>
        <w:pStyle w:val="Rientrocorpodeltesto"/>
        <w:spacing w:after="120" w:line="288" w:lineRule="auto"/>
        <w:rPr>
          <w:rFonts w:ascii="Bookman Old Style" w:hAnsi="Bookman Old Style"/>
          <w:sz w:val="22"/>
          <w:szCs w:val="22"/>
        </w:rPr>
      </w:pPr>
    </w:p>
    <w:p w14:paraId="4C0AA056" w14:textId="77777777" w:rsidR="00FE47D4" w:rsidRPr="006A7674" w:rsidRDefault="00FE47D4" w:rsidP="00FE47D4">
      <w:pPr>
        <w:pStyle w:val="Titolo3"/>
        <w:spacing w:after="80" w:line="288" w:lineRule="auto"/>
        <w:jc w:val="left"/>
        <w:rPr>
          <w:rFonts w:ascii="Bookman Old Style" w:hAnsi="Bookman Old Style"/>
          <w:i/>
          <w:sz w:val="22"/>
          <w:szCs w:val="22"/>
        </w:rPr>
      </w:pPr>
      <w:bookmarkStart w:id="43" w:name="_Toc218672130"/>
      <w:r w:rsidRPr="006A7674">
        <w:rPr>
          <w:rFonts w:ascii="Bookman Old Style" w:hAnsi="Bookman Old Style"/>
          <w:sz w:val="22"/>
          <w:szCs w:val="22"/>
        </w:rPr>
        <w:t xml:space="preserve">Articolo </w:t>
      </w:r>
      <w:r>
        <w:rPr>
          <w:rFonts w:ascii="Bookman Old Style" w:hAnsi="Bookman Old Style"/>
          <w:sz w:val="22"/>
          <w:szCs w:val="22"/>
        </w:rPr>
        <w:t>5</w:t>
      </w:r>
      <w:r w:rsidRPr="006A7674">
        <w:rPr>
          <w:rFonts w:ascii="Bookman Old Style" w:hAnsi="Bookman Old Style"/>
          <w:sz w:val="22"/>
          <w:szCs w:val="22"/>
        </w:rPr>
        <w:t xml:space="preserve"> – </w:t>
      </w:r>
      <w:r w:rsidRPr="00CC47B6">
        <w:rPr>
          <w:rFonts w:ascii="Bookman Old Style" w:hAnsi="Bookman Old Style"/>
          <w:iCs/>
          <w:sz w:val="22"/>
          <w:szCs w:val="22"/>
        </w:rPr>
        <w:t>Entrata in vigore</w:t>
      </w:r>
      <w:bookmarkEnd w:id="43"/>
    </w:p>
    <w:p w14:paraId="4EB5DB48" w14:textId="77777777" w:rsidR="00FE47D4" w:rsidRPr="006A7674" w:rsidRDefault="00FE47D4" w:rsidP="00FE47D4">
      <w:pPr>
        <w:pStyle w:val="testo"/>
        <w:spacing w:after="80" w:line="288" w:lineRule="auto"/>
        <w:rPr>
          <w:rFonts w:ascii="Bookman Old Style" w:hAnsi="Bookman Old Style"/>
        </w:rPr>
      </w:pPr>
      <w:r w:rsidRPr="006A7674">
        <w:rPr>
          <w:rFonts w:ascii="Bookman Old Style" w:hAnsi="Bookman Old Style"/>
          <w:spacing w:val="4"/>
          <w:sz w:val="22"/>
          <w:szCs w:val="22"/>
        </w:rPr>
        <w:t>1. Il presente regolamento entra in vigore lo stesso giorno della sua approvazione</w:t>
      </w:r>
      <w:r>
        <w:rPr>
          <w:rStyle w:val="Rimandonotaapidipagina"/>
          <w:rFonts w:ascii="Bookman Old Style" w:hAnsi="Bookman Old Style"/>
          <w:spacing w:val="4"/>
          <w:sz w:val="22"/>
          <w:szCs w:val="22"/>
        </w:rPr>
        <w:footnoteReference w:id="57"/>
      </w:r>
      <w:r w:rsidRPr="006A7674">
        <w:rPr>
          <w:rFonts w:ascii="Bookman Old Style" w:hAnsi="Bookman Old Style"/>
          <w:spacing w:val="4"/>
          <w:sz w:val="22"/>
          <w:szCs w:val="22"/>
        </w:rPr>
        <w:t>.</w:t>
      </w:r>
    </w:p>
    <w:p w14:paraId="31AA4368" w14:textId="77777777" w:rsidR="00FE47D4" w:rsidRDefault="00FE47D4" w:rsidP="00FE47D4">
      <w:pPr>
        <w:pStyle w:val="testo"/>
        <w:spacing w:after="80" w:line="288" w:lineRule="auto"/>
        <w:rPr>
          <w:rFonts w:ascii="Bookman Old Style" w:hAnsi="Bookman Old Style"/>
          <w:spacing w:val="4"/>
          <w:sz w:val="22"/>
          <w:szCs w:val="22"/>
        </w:rPr>
      </w:pPr>
    </w:p>
    <w:p w14:paraId="6BE8B5FC" w14:textId="77777777" w:rsidR="00FE47D4" w:rsidRDefault="00FE47D4" w:rsidP="008D4A34">
      <w:pPr>
        <w:pStyle w:val="Rientrocorpodeltesto"/>
        <w:spacing w:after="120" w:line="288" w:lineRule="auto"/>
        <w:rPr>
          <w:rFonts w:ascii="Bookman Old Style" w:hAnsi="Bookman Old Style"/>
          <w:sz w:val="22"/>
          <w:szCs w:val="22"/>
        </w:rPr>
      </w:pPr>
    </w:p>
    <w:p w14:paraId="599A7025" w14:textId="77777777" w:rsidR="00FE47D4" w:rsidRDefault="00FE47D4" w:rsidP="008D4A34">
      <w:pPr>
        <w:pStyle w:val="Rientrocorpodeltesto"/>
        <w:spacing w:after="120" w:line="288" w:lineRule="auto"/>
        <w:rPr>
          <w:rFonts w:ascii="Bookman Old Style" w:hAnsi="Bookman Old Style"/>
          <w:sz w:val="22"/>
          <w:szCs w:val="22"/>
        </w:rPr>
      </w:pPr>
    </w:p>
    <w:p w14:paraId="14CD0EFD" w14:textId="77777777" w:rsidR="00FE47D4" w:rsidRDefault="00FE47D4" w:rsidP="008D4A34">
      <w:pPr>
        <w:pStyle w:val="Rientrocorpodeltesto"/>
        <w:spacing w:after="120" w:line="288" w:lineRule="auto"/>
        <w:rPr>
          <w:rFonts w:ascii="Bookman Old Style" w:hAnsi="Bookman Old Style"/>
          <w:sz w:val="22"/>
          <w:szCs w:val="22"/>
        </w:rPr>
      </w:pPr>
    </w:p>
    <w:sectPr w:rsidR="00FE47D4" w:rsidSect="00512B2D">
      <w:headerReference w:type="default" r:id="rId8"/>
      <w:footerReference w:type="default" r:id="rId9"/>
      <w:pgSz w:w="11906" w:h="16838"/>
      <w:pgMar w:top="1702" w:right="1134" w:bottom="1134" w:left="1134" w:header="56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197AB" w14:textId="77777777" w:rsidR="004D474A" w:rsidRDefault="004D474A">
      <w:r>
        <w:separator/>
      </w:r>
    </w:p>
  </w:endnote>
  <w:endnote w:type="continuationSeparator" w:id="0">
    <w:p w14:paraId="1BB2A513" w14:textId="77777777" w:rsidR="004D474A" w:rsidRDefault="004D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E4B7" w14:textId="77777777" w:rsidR="00C92DE8" w:rsidRDefault="00C92DE8">
    <w:pPr>
      <w:pStyle w:val="Pidipagina"/>
      <w:jc w:val="right"/>
    </w:pPr>
    <w:r>
      <w:fldChar w:fldCharType="begin"/>
    </w:r>
    <w:r>
      <w:instrText>PAGE   \* MERGEFORMAT</w:instrText>
    </w:r>
    <w:r>
      <w:fldChar w:fldCharType="separate"/>
    </w:r>
    <w:r w:rsidR="00A90695">
      <w:rPr>
        <w:noProof/>
      </w:rPr>
      <w:t>1</w:t>
    </w:r>
    <w:r>
      <w:fldChar w:fldCharType="end"/>
    </w:r>
  </w:p>
  <w:p w14:paraId="26EA2C3B" w14:textId="77777777" w:rsidR="004E7734" w:rsidRDefault="004E77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DD56F" w14:textId="77777777" w:rsidR="004D474A" w:rsidRDefault="004D474A">
      <w:r>
        <w:separator/>
      </w:r>
    </w:p>
  </w:footnote>
  <w:footnote w:type="continuationSeparator" w:id="0">
    <w:p w14:paraId="2CC1926B" w14:textId="77777777" w:rsidR="004D474A" w:rsidRDefault="004D474A">
      <w:r>
        <w:continuationSeparator/>
      </w:r>
    </w:p>
  </w:footnote>
  <w:footnote w:id="1">
    <w:p w14:paraId="6973E64B" w14:textId="5520E01F" w:rsidR="00B469F7" w:rsidRDefault="00B469F7">
      <w:pPr>
        <w:pStyle w:val="Testonotaapidipagina"/>
      </w:pPr>
      <w:r>
        <w:rPr>
          <w:rStyle w:val="Rimandonotaapidipagina"/>
        </w:rPr>
        <w:footnoteRef/>
      </w:r>
      <w:r>
        <w:t xml:space="preserve"> </w:t>
      </w:r>
      <w:r w:rsidR="00837483">
        <w:t>Lo schema proposto</w:t>
      </w:r>
      <w:r>
        <w:t xml:space="preserve"> riguarda tutte le entrate comunali, ma il Comune può limitare l’applicazione ad un solo tributo (ad esempio solo per Tarsu, Tares e Tari) o ad una sola entrata patrimoniale (ad esempio solo per le contravvenzioni al </w:t>
      </w:r>
      <w:r w:rsidR="00837483">
        <w:t xml:space="preserve">Codice </w:t>
      </w:r>
      <w:r>
        <w:t>della strada)</w:t>
      </w:r>
      <w:r w:rsidR="00726401">
        <w:t xml:space="preserve">, o </w:t>
      </w:r>
      <w:r w:rsidR="00752F50">
        <w:t xml:space="preserve">solo </w:t>
      </w:r>
      <w:r w:rsidR="00726401">
        <w:t>ad alcune delle due categorie</w:t>
      </w:r>
      <w:r>
        <w:t>.</w:t>
      </w:r>
    </w:p>
    <w:p w14:paraId="1E56CDC6" w14:textId="77777777" w:rsidR="00D94942" w:rsidRPr="00D94942" w:rsidRDefault="00D94942">
      <w:pPr>
        <w:pStyle w:val="Testonotaapidipagina"/>
        <w:rPr>
          <w:b/>
          <w:bCs/>
        </w:rPr>
      </w:pPr>
      <w:r>
        <w:t xml:space="preserve">Inoltre, la definizione si riferisce ai crediti </w:t>
      </w:r>
      <w:r w:rsidRPr="00D94942">
        <w:rPr>
          <w:b/>
          <w:bCs/>
        </w:rPr>
        <w:t>da accertamenti definitivi, anche se non ancora avviati alla riscossione coattiva.</w:t>
      </w:r>
    </w:p>
  </w:footnote>
  <w:footnote w:id="2">
    <w:p w14:paraId="0320E872" w14:textId="37DFE1C7" w:rsidR="008C00E1" w:rsidRDefault="008C00E1">
      <w:pPr>
        <w:pStyle w:val="Testonotaapidipagina"/>
      </w:pPr>
      <w:r>
        <w:rPr>
          <w:rStyle w:val="Rimandonotaapidipagina"/>
        </w:rPr>
        <w:footnoteRef/>
      </w:r>
      <w:r>
        <w:t xml:space="preserve"> Oppure emessi fino al 3</w:t>
      </w:r>
      <w:r w:rsidR="00CD2847">
        <w:t>1 dicembre 2023</w:t>
      </w:r>
      <w:r>
        <w:t>, al fine di includere eventuali debiti ancora non prescritti relativi al periodo ante 2000.</w:t>
      </w:r>
      <w:r w:rsidR="00CD2847">
        <w:t xml:space="preserve"> Il periodo temporale </w:t>
      </w:r>
      <w:r w:rsidR="00D553D5">
        <w:t>di</w:t>
      </w:r>
      <w:r w:rsidR="00CD2847">
        <w:t xml:space="preserve"> riferimento è il medesimo previsto </w:t>
      </w:r>
      <w:r w:rsidR="00837483">
        <w:t xml:space="preserve">per la cd </w:t>
      </w:r>
      <w:r w:rsidR="00837483">
        <w:rPr>
          <w:i/>
          <w:iCs/>
        </w:rPr>
        <w:t xml:space="preserve">rottamazione-quinquies </w:t>
      </w:r>
      <w:r w:rsidR="00837483">
        <w:t xml:space="preserve">delle entrate erariali </w:t>
      </w:r>
      <w:r w:rsidR="00CD2847">
        <w:t>dall’art. 1, comma 82, legge n. 199 del 2025</w:t>
      </w:r>
    </w:p>
  </w:footnote>
  <w:footnote w:id="3">
    <w:p w14:paraId="208203C8" w14:textId="77777777" w:rsidR="00E10F06" w:rsidRDefault="00E10F06">
      <w:pPr>
        <w:pStyle w:val="Testonotaapidipagina"/>
      </w:pPr>
      <w:r>
        <w:rPr>
          <w:rStyle w:val="Rimandonotaapidipagina"/>
        </w:rPr>
        <w:footnoteRef/>
      </w:r>
      <w:r>
        <w:t xml:space="preserve"> S</w:t>
      </w:r>
      <w:r w:rsidR="00504EF1">
        <w:t xml:space="preserve">imilmente a </w:t>
      </w:r>
      <w:r>
        <w:t>quanto previsto dall’art. 1, comma 246, legge n. 197/2022.</w:t>
      </w:r>
    </w:p>
  </w:footnote>
  <w:footnote w:id="4">
    <w:p w14:paraId="36D7C323" w14:textId="77777777" w:rsidR="001705B5" w:rsidRDefault="001705B5">
      <w:pPr>
        <w:pStyle w:val="Testonotaapidipagina"/>
      </w:pPr>
      <w:r>
        <w:rPr>
          <w:rStyle w:val="Rimandonotaapidipagina"/>
        </w:rPr>
        <w:footnoteRef/>
      </w:r>
      <w:r>
        <w:t xml:space="preserve"> Lo schema di regolamento considera l’esistenza di un solo centro </w:t>
      </w:r>
      <w:r w:rsidR="008A6408">
        <w:t>di riferimento per tutte le fattispecie oggetto di definizione agevolata</w:t>
      </w:r>
      <w:r w:rsidR="000C3364">
        <w:t xml:space="preserve"> (il Comune, o un affidatario)</w:t>
      </w:r>
      <w:r w:rsidR="008A6408">
        <w:t xml:space="preserve">. I riferimenti dovranno essere aggiornati </w:t>
      </w:r>
      <w:r w:rsidR="006C1D17">
        <w:t>n</w:t>
      </w:r>
      <w:r w:rsidR="008A6408">
        <w:t xml:space="preserve">el caso </w:t>
      </w:r>
      <w:r w:rsidR="006C1D17">
        <w:t xml:space="preserve">in cui ci siano diversi centri di responsabilità preposti alla </w:t>
      </w:r>
      <w:r w:rsidR="00C95E7A">
        <w:t>fornitura delle informazioni e alla ricezione delle richieste</w:t>
      </w:r>
      <w:r w:rsidR="00E60CE5">
        <w:t>.</w:t>
      </w:r>
    </w:p>
  </w:footnote>
  <w:footnote w:id="5">
    <w:p w14:paraId="0E65D808" w14:textId="77777777" w:rsidR="00B91FCD" w:rsidRDefault="00B91FCD" w:rsidP="00B91FCD">
      <w:pPr>
        <w:pStyle w:val="Testonotaapidipagina"/>
      </w:pPr>
      <w:r>
        <w:rPr>
          <w:rStyle w:val="Rimandonotaapidipagina"/>
        </w:rPr>
        <w:footnoteRef/>
      </w:r>
      <w:r>
        <w:t xml:space="preserve"> In alternativa, si ritiene possibile applicare le modalità di rateazione ordinaria già regolamentata dal Comune, </w:t>
      </w:r>
      <w:r w:rsidR="0086435E">
        <w:t xml:space="preserve">oppure, </w:t>
      </w:r>
      <w:r>
        <w:t xml:space="preserve">in assenza di </w:t>
      </w:r>
      <w:r w:rsidR="008C00E1">
        <w:t>regolamentazione comunale</w:t>
      </w:r>
      <w:r>
        <w:t>, quella prevista dall’art. 1, comma 796, legge n. 160/2019.</w:t>
      </w:r>
      <w:r w:rsidR="00D0143C">
        <w:t xml:space="preserve"> Ovviamente</w:t>
      </w:r>
      <w:r w:rsidR="00BA26ED">
        <w:t>,</w:t>
      </w:r>
      <w:r w:rsidR="00D0143C">
        <w:t xml:space="preserve"> anche la scansione temporale indicata </w:t>
      </w:r>
      <w:r w:rsidR="00BA26ED">
        <w:t>andrà armonizzata</w:t>
      </w:r>
    </w:p>
  </w:footnote>
  <w:footnote w:id="6">
    <w:p w14:paraId="741D54DD" w14:textId="3CCC2B0A" w:rsidR="001242DD" w:rsidRDefault="001242DD">
      <w:pPr>
        <w:pStyle w:val="Testonotaapidipagina"/>
      </w:pPr>
      <w:r>
        <w:rPr>
          <w:rStyle w:val="Rimandonotaapidipagina"/>
        </w:rPr>
        <w:footnoteRef/>
      </w:r>
      <w:r>
        <w:t xml:space="preserve"> </w:t>
      </w:r>
      <w:r w:rsidR="007F7F7D">
        <w:t xml:space="preserve">Il versamento di una prima rata di entità più consistente </w:t>
      </w:r>
      <w:r w:rsidR="007F75EE">
        <w:t>è opzionale</w:t>
      </w:r>
      <w:r w:rsidR="0040531E">
        <w:t xml:space="preserve">. Inoltre, </w:t>
      </w:r>
      <w:r>
        <w:t xml:space="preserve">non esistono impedimenti locali per consentire la compensazione. La previsione è stata </w:t>
      </w:r>
      <w:r w:rsidR="0040531E">
        <w:t xml:space="preserve">qui </w:t>
      </w:r>
      <w:r>
        <w:t>inserita in analogia alle rottamazioni erariali.</w:t>
      </w:r>
    </w:p>
  </w:footnote>
  <w:footnote w:id="7">
    <w:p w14:paraId="244D97B3" w14:textId="7E0BA47B" w:rsidR="00B91FCD" w:rsidRDefault="00B91FCD">
      <w:pPr>
        <w:pStyle w:val="Testonotaapidipagina"/>
      </w:pPr>
      <w:r>
        <w:rPr>
          <w:rStyle w:val="Rimandonotaapidipagina"/>
        </w:rPr>
        <w:footnoteRef/>
      </w:r>
      <w:r>
        <w:t xml:space="preserve"> In alternativa, il tasso di interesse moratorio </w:t>
      </w:r>
      <w:r w:rsidR="007B349E">
        <w:t xml:space="preserve">eventualmente </w:t>
      </w:r>
      <w:r>
        <w:t xml:space="preserve">regolamentato dal Comune </w:t>
      </w:r>
      <w:r w:rsidR="007B349E">
        <w:t>in applicazione della facoltà di cui a</w:t>
      </w:r>
      <w:r>
        <w:t>ll’art. 1</w:t>
      </w:r>
      <w:r w:rsidR="001242DD">
        <w:t>,</w:t>
      </w:r>
      <w:r>
        <w:t xml:space="preserve"> comma 802, legge n. 160/2019.</w:t>
      </w:r>
    </w:p>
  </w:footnote>
  <w:footnote w:id="8">
    <w:p w14:paraId="4FC179C7" w14:textId="77777777" w:rsidR="00BE48C1" w:rsidRDefault="00BE48C1" w:rsidP="00BE48C1">
      <w:pPr>
        <w:pStyle w:val="Testonotaapidipagina"/>
      </w:pPr>
      <w:r>
        <w:rPr>
          <w:rStyle w:val="Rimandonotaapidipagina"/>
        </w:rPr>
        <w:footnoteRef/>
      </w:r>
      <w:r>
        <w:t xml:space="preserve"> In analogia a quanto previsto dall’art. 1, comma </w:t>
      </w:r>
      <w:r w:rsidR="00260B3A">
        <w:t>96, legge n. 199 del 2025. A</w:t>
      </w:r>
      <w:r>
        <w:t xml:space="preserve">l contrario, non si ritiene regolamentabile una previsione simile a quella prevista dal comma </w:t>
      </w:r>
      <w:r w:rsidR="00260B3A">
        <w:t>98 della legge n. 199 del 2025</w:t>
      </w:r>
      <w:r>
        <w:t xml:space="preserve">. Tale disposizione prevede che alle somme occorrenti per aderire alla definizione agevolata, </w:t>
      </w:r>
      <w:r w:rsidR="0023334C">
        <w:t xml:space="preserve">che sono </w:t>
      </w:r>
      <w:r w:rsidR="0023334C" w:rsidRPr="0023334C">
        <w:t>oggetto di procedura concorsuale nonché</w:t>
      </w:r>
      <w:r w:rsidR="0023334C">
        <w:t xml:space="preserve"> </w:t>
      </w:r>
      <w:r w:rsidR="0023334C" w:rsidRPr="0023334C">
        <w:t>di tutte le procedure di composizione</w:t>
      </w:r>
      <w:r w:rsidR="0023334C">
        <w:t xml:space="preserve"> </w:t>
      </w:r>
      <w:r w:rsidR="0023334C" w:rsidRPr="0023334C">
        <w:t>negoziale della crisi d’impresa previste dal</w:t>
      </w:r>
      <w:r w:rsidR="0023334C">
        <w:t xml:space="preserve"> </w:t>
      </w:r>
      <w:r w:rsidR="0023334C" w:rsidRPr="0023334C">
        <w:t>regio decreto 16 marzo 1942, n. 267, e dal</w:t>
      </w:r>
      <w:r w:rsidR="0023334C">
        <w:t xml:space="preserve"> </w:t>
      </w:r>
      <w:r w:rsidR="0023334C" w:rsidRPr="0023334C">
        <w:t>codice di cui al decreto legislativo 12 gennaio</w:t>
      </w:r>
      <w:r w:rsidR="0023334C">
        <w:t xml:space="preserve"> </w:t>
      </w:r>
      <w:r w:rsidR="0023334C" w:rsidRPr="0023334C">
        <w:t>2019, n. 14, si applica la disciplina dei</w:t>
      </w:r>
      <w:r w:rsidR="0023334C">
        <w:t xml:space="preserve"> </w:t>
      </w:r>
      <w:r w:rsidR="0023334C" w:rsidRPr="0023334C">
        <w:t>crediti prededucibili.</w:t>
      </w:r>
      <w:r w:rsidRPr="00651BAE">
        <w:t xml:space="preserve"> Ciò implica che</w:t>
      </w:r>
      <w:r w:rsidR="00F40D50">
        <w:t>,</w:t>
      </w:r>
      <w:r w:rsidRPr="00651BAE">
        <w:t xml:space="preserve"> ai fini della definizione</w:t>
      </w:r>
      <w:r w:rsidR="00F40D50">
        <w:t>,</w:t>
      </w:r>
      <w:r w:rsidRPr="00651BAE">
        <w:t xml:space="preserve"> i crediti</w:t>
      </w:r>
      <w:r w:rsidR="00A34D3B" w:rsidRPr="00651BAE">
        <w:t xml:space="preserve"> anche non</w:t>
      </w:r>
      <w:r w:rsidRPr="00651BAE">
        <w:t xml:space="preserve"> dotati di privilegio si trasformino in crediti prededucibili, con un evidente lesione delle ragioni degli altri creditori</w:t>
      </w:r>
      <w:r w:rsidR="00BD35C6" w:rsidRPr="00651BAE">
        <w:t>, che può essere disposta solo per legge e non per regolamento comunale.</w:t>
      </w:r>
    </w:p>
  </w:footnote>
  <w:footnote w:id="9">
    <w:p w14:paraId="4C69B9A2" w14:textId="77777777" w:rsidR="00444103" w:rsidRDefault="00444103">
      <w:pPr>
        <w:pStyle w:val="Testonotaapidipagina"/>
      </w:pPr>
      <w:r>
        <w:rPr>
          <w:rStyle w:val="Rimandonotaapidipagina"/>
        </w:rPr>
        <w:footnoteRef/>
      </w:r>
      <w:r>
        <w:t xml:space="preserve"> È possibile depositare un atto di rinuncia a firma congiunta, ovvero un atto di rinuncia con in allegato un atto di accettazione alla rinuncia firmata dall</w:t>
      </w:r>
      <w:r w:rsidR="00BA680C">
        <w:t>’</w:t>
      </w:r>
      <w:r>
        <w:t>a</w:t>
      </w:r>
      <w:r w:rsidR="00BA680C">
        <w:t>ltra</w:t>
      </w:r>
      <w:r>
        <w:t xml:space="preserve"> parte.</w:t>
      </w:r>
    </w:p>
  </w:footnote>
  <w:footnote w:id="10">
    <w:p w14:paraId="0F035CBD" w14:textId="77777777" w:rsidR="009670F0" w:rsidRDefault="009670F0" w:rsidP="009670F0">
      <w:pPr>
        <w:pStyle w:val="Testonotaapidipagina"/>
      </w:pPr>
      <w:r>
        <w:rPr>
          <w:rStyle w:val="Rimandonotaapidipagina"/>
        </w:rPr>
        <w:footnoteRef/>
      </w:r>
      <w:r>
        <w:t xml:space="preserve"> A condizione che alla delibera consiliare si attribuisca l’immediata esecutività.</w:t>
      </w:r>
    </w:p>
  </w:footnote>
  <w:footnote w:id="11">
    <w:p w14:paraId="0F096CD2" w14:textId="77777777" w:rsidR="0015266E" w:rsidRDefault="0015266E">
      <w:pPr>
        <w:pStyle w:val="Testonotaapidipagina"/>
      </w:pPr>
      <w:r>
        <w:rPr>
          <w:rStyle w:val="Rimandonotaapidipagina"/>
        </w:rPr>
        <w:footnoteRef/>
      </w:r>
      <w:r>
        <w:t xml:space="preserve"> Ivi inclusi, quindi, i ricorsi notificati il 1° gennaio 2026.</w:t>
      </w:r>
      <w:r w:rsidR="001B2BE5">
        <w:t xml:space="preserve"> Ovviamente l’ente potrà individuare una diversa data, antecedente alla data di approvazione del regolamento sulla definizione delle liti pendenti.</w:t>
      </w:r>
    </w:p>
  </w:footnote>
  <w:footnote w:id="12">
    <w:p w14:paraId="77A06391" w14:textId="77777777" w:rsidR="00732E3C" w:rsidRDefault="00732E3C" w:rsidP="00C1108F">
      <w:pPr>
        <w:pStyle w:val="Testonotaapidipagina"/>
      </w:pPr>
      <w:r w:rsidRPr="009E69A7">
        <w:rPr>
          <w:rStyle w:val="Rimandonotaapidipagina"/>
        </w:rPr>
        <w:footnoteRef/>
      </w:r>
      <w:r w:rsidRPr="009E69A7">
        <w:t xml:space="preserve"> Sono pertanto escluse le controversie che, pur riguardando atti emessi dal Comune, non vedono come parte processuale il Comune stesso. Ipotesi, questa, che si verifica normalmente in caso di impugnazione della cartella di pagamento, con ricorso non notificato anche al Comune</w:t>
      </w:r>
      <w:r w:rsidR="00544D86" w:rsidRPr="009E69A7">
        <w:t xml:space="preserve">. </w:t>
      </w:r>
      <w:r w:rsidR="00C1108F" w:rsidRPr="009E69A7">
        <w:t>Al riguardo si rammenta che l’art. 14, comma 6-bis, d.lgs. n. 546 del 1992 prevede che “</w:t>
      </w:r>
      <w:r w:rsidR="00C1108F" w:rsidRPr="009E69A7">
        <w:rPr>
          <w:i/>
          <w:iCs/>
        </w:rPr>
        <w:t>in caso di vizi della notificazione eccepiti nei riguardi di un atto presupposto emesso da un soggetto diverso da quello che ha emesso l'atto impugnato, il ricorso è sempre proposto nei confronti di entrambi i soggetti</w:t>
      </w:r>
      <w:r w:rsidR="00C1108F" w:rsidRPr="009E69A7">
        <w:t xml:space="preserve">”. </w:t>
      </w:r>
      <w:r w:rsidR="00C1108F" w:rsidRPr="00CC2DA2">
        <w:rPr>
          <w:b/>
          <w:bCs/>
        </w:rPr>
        <w:t>Pertanto, il Comune può risultare “parte” anche in</w:t>
      </w:r>
      <w:r w:rsidR="00D94942" w:rsidRPr="00CC2DA2">
        <w:rPr>
          <w:b/>
          <w:bCs/>
        </w:rPr>
        <w:t xml:space="preserve"> un </w:t>
      </w:r>
      <w:r w:rsidR="00C1108F" w:rsidRPr="00CC2DA2">
        <w:rPr>
          <w:b/>
          <w:bCs/>
        </w:rPr>
        <w:t>processo relativo all’impugnazione di un atto di Ader</w:t>
      </w:r>
      <w:r w:rsidR="00C1108F" w:rsidRPr="00CC2DA2">
        <w:t xml:space="preserve">. </w:t>
      </w:r>
      <w:r w:rsidR="007439F5" w:rsidRPr="00CC2DA2">
        <w:t>Anche in t</w:t>
      </w:r>
      <w:r w:rsidR="00C1108F" w:rsidRPr="00CC2DA2">
        <w:t xml:space="preserve">ale ipotesi la controversia può </w:t>
      </w:r>
      <w:r w:rsidR="007439F5" w:rsidRPr="00CC2DA2">
        <w:t xml:space="preserve">essere definita, ma al suo perfezionamento deve conseguire uno sgravio del carico affidato </w:t>
      </w:r>
      <w:proofErr w:type="gramStart"/>
      <w:r w:rsidR="007439F5" w:rsidRPr="00CC2DA2">
        <w:t>ad</w:t>
      </w:r>
      <w:proofErr w:type="gramEnd"/>
      <w:r w:rsidR="007439F5" w:rsidRPr="00CC2DA2">
        <w:t xml:space="preserve"> Ader, relativamente al minor importo dovuto per effetto della definizione.</w:t>
      </w:r>
    </w:p>
  </w:footnote>
  <w:footnote w:id="13">
    <w:p w14:paraId="5F18A31E" w14:textId="77777777" w:rsidR="00732E3C" w:rsidRDefault="00732E3C" w:rsidP="00732E3C">
      <w:pPr>
        <w:pStyle w:val="Testonotaapidipagina"/>
      </w:pPr>
      <w:r>
        <w:rPr>
          <w:rStyle w:val="Rimandonotaapidipagina"/>
        </w:rPr>
        <w:footnoteRef/>
      </w:r>
      <w:r>
        <w:t xml:space="preserve"> </w:t>
      </w:r>
      <w:r w:rsidRPr="00356366">
        <w:t>Nell’ipotesi in cui il Comune abbia affidato in concessione la riscossione coattiva</w:t>
      </w:r>
      <w:r>
        <w:t>.</w:t>
      </w:r>
    </w:p>
  </w:footnote>
  <w:footnote w:id="14">
    <w:p w14:paraId="4F369009" w14:textId="316074A7" w:rsidR="00732E3C" w:rsidRDefault="00732E3C" w:rsidP="00732E3C">
      <w:pPr>
        <w:pStyle w:val="Testonotaapidipagina"/>
      </w:pPr>
      <w:r w:rsidRPr="003F1A7C">
        <w:rPr>
          <w:rStyle w:val="Rimandonotaapidipagina"/>
        </w:rPr>
        <w:footnoteRef/>
      </w:r>
      <w:r w:rsidRPr="003F1A7C">
        <w:t xml:space="preserve"> </w:t>
      </w:r>
      <w:r w:rsidR="00E50F49">
        <w:t>Risultano definibili anche le controversie relative al CUP pendenti innanzi al giudice tributario. Sul punto si rammenta che diverse Corti di giustizia tributaria si ritengono competenti a decidere le controversie CUP per la componente relativa alla diffusione dei messaggi pubblicitari. Peraltro</w:t>
      </w:r>
      <w:r w:rsidR="00CC2DA2">
        <w:t>,</w:t>
      </w:r>
      <w:r w:rsidR="00E50F49">
        <w:t xml:space="preserve"> la questione circa la giurisdizione competente è stata oggetto di rinvio pregiudiziale innanzi la Corte di Cassazione e la questione è stata attribuita alla Sezioni Unite, competenti per risolvere il conflitto sulla giurisdizione, che dovrà quindi pronunciarsi.</w:t>
      </w:r>
    </w:p>
  </w:footnote>
  <w:footnote w:id="15">
    <w:p w14:paraId="7B4096D0" w14:textId="77777777" w:rsidR="00732E3C" w:rsidRDefault="00732E3C" w:rsidP="00732E3C">
      <w:pPr>
        <w:pStyle w:val="Testonotaapidipagina"/>
      </w:pPr>
      <w:r>
        <w:rPr>
          <w:rStyle w:val="Rimandonotaapidipagina"/>
        </w:rPr>
        <w:footnoteRef/>
      </w:r>
      <w:r>
        <w:t xml:space="preserve"> In quanto non vi sono importi da versare da parte del contribuente. Del pari, debbono ritenersi escluse dalla definizione agevolata le controversie relative alla spettanza di agevolazioni, come quelle relative al diniego di rateizzazione (Cass. </w:t>
      </w:r>
      <w:proofErr w:type="spellStart"/>
      <w:r>
        <w:t>ss.uu</w:t>
      </w:r>
      <w:proofErr w:type="spellEnd"/>
      <w:r>
        <w:t>. n. 15647/2010), in quanto l’importo oggetto di rateizzazione è cristallizzato in un atto di accertamento divenuto definitivo per mancata impugnazione.</w:t>
      </w:r>
    </w:p>
  </w:footnote>
  <w:footnote w:id="16">
    <w:p w14:paraId="77E698D4" w14:textId="77777777" w:rsidR="0015266E" w:rsidRDefault="0015266E">
      <w:pPr>
        <w:pStyle w:val="Testonotaapidipagina"/>
      </w:pPr>
      <w:r>
        <w:rPr>
          <w:rStyle w:val="Rimandonotaapidipagina"/>
        </w:rPr>
        <w:footnoteRef/>
      </w:r>
      <w:r>
        <w:t xml:space="preserve"> Occorre fissare un termine non inferiore a 60 giorni dalla data di efficacia della delibera di approvazione del regolamento, ovvero dalla data di pubblicazione della stessa sul sito </w:t>
      </w:r>
      <w:r w:rsidRPr="0015266E">
        <w:rPr>
          <w:i/>
          <w:iCs/>
        </w:rPr>
        <w:t>internet</w:t>
      </w:r>
      <w:r>
        <w:t xml:space="preserve"> istituzionale dell’ente.</w:t>
      </w:r>
    </w:p>
  </w:footnote>
  <w:footnote w:id="17">
    <w:p w14:paraId="6481F32D" w14:textId="55FAC356" w:rsidR="00D94942" w:rsidRDefault="00D94942">
      <w:pPr>
        <w:pStyle w:val="Testonotaapidipagina"/>
      </w:pPr>
      <w:r>
        <w:rPr>
          <w:rStyle w:val="Rimandonotaapidipagina"/>
        </w:rPr>
        <w:footnoteRef/>
      </w:r>
      <w:r>
        <w:t xml:space="preserve"> O altre possibilità rese </w:t>
      </w:r>
      <w:r w:rsidR="00CC2DA2">
        <w:t>possibili</w:t>
      </w:r>
      <w:r>
        <w:t xml:space="preserve"> dall’utilizzo di tecnologie digitali, come applicazioni accessibili dal sito internet istituzionale dell’ente, che comunque offrano garanzie di tema di tutela della privacy-</w:t>
      </w:r>
    </w:p>
  </w:footnote>
  <w:footnote w:id="18">
    <w:p w14:paraId="685AF06B" w14:textId="77777777" w:rsidR="00732E3C" w:rsidRDefault="00732E3C" w:rsidP="00732E3C">
      <w:pPr>
        <w:pStyle w:val="Testonotaapidipagina"/>
      </w:pPr>
      <w:r>
        <w:rPr>
          <w:rStyle w:val="Rimandonotaapidipagina"/>
        </w:rPr>
        <w:footnoteRef/>
      </w:r>
      <w:r>
        <w:t xml:space="preserve"> L’art. 1, comma 188, legge 197/2022, ai fini della quantificazione degli importi dovuti con la definizione agevolata, fa espressamente riferimento alle pronunce, non cautelari, “</w:t>
      </w:r>
      <w:r w:rsidRPr="0058352D">
        <w:rPr>
          <w:b/>
          <w:bCs/>
        </w:rPr>
        <w:t>depositate</w:t>
      </w:r>
      <w:r>
        <w:t>” alla data del 1° gennaio 2023, sicché risulta del tutto irrilevante la data di emissione della pronuncia.</w:t>
      </w:r>
    </w:p>
  </w:footnote>
  <w:footnote w:id="19">
    <w:p w14:paraId="03C6285E" w14:textId="77777777" w:rsidR="00461C71" w:rsidRDefault="00461C71">
      <w:pPr>
        <w:pStyle w:val="Testonotaapidipagina"/>
      </w:pPr>
      <w:r>
        <w:rPr>
          <w:rStyle w:val="Rimandonotaapidipagina"/>
        </w:rPr>
        <w:footnoteRef/>
      </w:r>
      <w:r>
        <w:t xml:space="preserve"> Quindi, indipendentemente che l’ente sia risultato soccombente o parzialmente soccombente, in quanto l’art. 1, comma 102, legge n. 199 del 2025 esclude la possibilità di ridurre il tributo.</w:t>
      </w:r>
    </w:p>
  </w:footnote>
  <w:footnote w:id="20">
    <w:p w14:paraId="64075C69" w14:textId="7F5677A1" w:rsidR="00461C71" w:rsidRDefault="00461C71">
      <w:pPr>
        <w:pStyle w:val="Testonotaapidipagina"/>
      </w:pPr>
      <w:r>
        <w:rPr>
          <w:rStyle w:val="Rimandonotaapidipagina"/>
        </w:rPr>
        <w:footnoteRef/>
      </w:r>
      <w:r>
        <w:t xml:space="preserve"> Pertanto</w:t>
      </w:r>
      <w:r w:rsidR="007810AD">
        <w:t>,</w:t>
      </w:r>
      <w:r>
        <w:t xml:space="preserve"> nel caso di pendenza del giudizio di rinvio disposto dalla Corte di Cassazione, risulta sempre dovuto il solo tributo.</w:t>
      </w:r>
    </w:p>
  </w:footnote>
  <w:footnote w:id="21">
    <w:p w14:paraId="0971262D" w14:textId="77777777" w:rsidR="00F977B8" w:rsidRDefault="00F977B8">
      <w:pPr>
        <w:pStyle w:val="Testonotaapidipagina"/>
      </w:pPr>
      <w:r>
        <w:rPr>
          <w:rStyle w:val="Rimandonotaapidipagina"/>
        </w:rPr>
        <w:footnoteRef/>
      </w:r>
      <w:r>
        <w:t xml:space="preserve"> Similmente a quanto previsto dall’art. 1, comma 191, legge n. 197/2022.</w:t>
      </w:r>
    </w:p>
  </w:footnote>
  <w:footnote w:id="22">
    <w:p w14:paraId="54D253C1" w14:textId="77777777" w:rsidR="00732E3C" w:rsidRDefault="00732E3C" w:rsidP="00732E3C">
      <w:pPr>
        <w:pStyle w:val="Testonotaapidipagina"/>
      </w:pPr>
      <w:r>
        <w:rPr>
          <w:rStyle w:val="Rimandonotaapidipagina"/>
        </w:rPr>
        <w:footnoteRef/>
      </w:r>
      <w:r>
        <w:t xml:space="preserve"> Quindi, nei casi in cui al 1° gennaio 202</w:t>
      </w:r>
      <w:r w:rsidR="005C55C4">
        <w:t>6</w:t>
      </w:r>
      <w:r>
        <w:t>:</w:t>
      </w:r>
    </w:p>
    <w:p w14:paraId="23E3F0ED" w14:textId="77777777" w:rsidR="00732E3C" w:rsidRDefault="00732E3C" w:rsidP="00732E3C">
      <w:pPr>
        <w:pStyle w:val="Testonotaapidipagina"/>
        <w:numPr>
          <w:ilvl w:val="0"/>
          <w:numId w:val="2"/>
        </w:numPr>
        <w:spacing w:line="288" w:lineRule="auto"/>
      </w:pPr>
      <w:r>
        <w:t>l’ultima pronuncia depositata veda il contribuente soccombente;</w:t>
      </w:r>
    </w:p>
    <w:p w14:paraId="7A9E7774" w14:textId="77777777" w:rsidR="00732E3C" w:rsidRDefault="00732E3C" w:rsidP="00732E3C">
      <w:pPr>
        <w:pStyle w:val="Testonotaapidipagina"/>
        <w:numPr>
          <w:ilvl w:val="0"/>
          <w:numId w:val="2"/>
        </w:numPr>
        <w:spacing w:line="288" w:lineRule="auto"/>
      </w:pPr>
      <w:r>
        <w:t>il ricorso non sia stato ancora posto in discussione;</w:t>
      </w:r>
    </w:p>
    <w:p w14:paraId="2C59A8A9" w14:textId="77777777" w:rsidR="00732E3C" w:rsidRDefault="00732E3C" w:rsidP="00732E3C">
      <w:pPr>
        <w:pStyle w:val="Testonotaapidipagina"/>
        <w:numPr>
          <w:ilvl w:val="0"/>
          <w:numId w:val="2"/>
        </w:numPr>
        <w:spacing w:line="288" w:lineRule="auto"/>
      </w:pPr>
      <w:r>
        <w:t>penda giudizio a seguito di pronuncia di Cassazione con rinvio.</w:t>
      </w:r>
    </w:p>
  </w:footnote>
  <w:footnote w:id="23">
    <w:p w14:paraId="06A81744" w14:textId="77777777" w:rsidR="00E64565" w:rsidRDefault="00E64565">
      <w:pPr>
        <w:pStyle w:val="Testonotaapidipagina"/>
      </w:pPr>
      <w:r>
        <w:rPr>
          <w:rStyle w:val="Rimandonotaapidipagina"/>
        </w:rPr>
        <w:footnoteRef/>
      </w:r>
      <w:r>
        <w:t xml:space="preserve"> O altre scadenze individuate dall’ente.</w:t>
      </w:r>
    </w:p>
  </w:footnote>
  <w:footnote w:id="24">
    <w:p w14:paraId="79914432" w14:textId="77777777" w:rsidR="00732E3C" w:rsidRDefault="00732E3C" w:rsidP="00732E3C">
      <w:pPr>
        <w:pStyle w:val="Testonotaapidipagina"/>
      </w:pPr>
      <w:r>
        <w:rPr>
          <w:rStyle w:val="Rimandonotaapidipagina"/>
        </w:rPr>
        <w:footnoteRef/>
      </w:r>
      <w:r>
        <w:t xml:space="preserve"> </w:t>
      </w:r>
      <w:r w:rsidR="00BA1DCC">
        <w:t>Il Comune non è vincolato ad una particolare rateizzazione, che può avere quindi scadenze diverse da quelle proposte; l’ente può comunque rinviare alla rateizzazione disciplinata nei propri regolamenti specifici o in alternativa far riferimento al piano di rateazione previsto nell’art. 1, comma 796, legge n. 160/2019.</w:t>
      </w:r>
    </w:p>
  </w:footnote>
  <w:footnote w:id="25">
    <w:p w14:paraId="54F230B8" w14:textId="77777777" w:rsidR="00BA1DCC" w:rsidRDefault="00BA1DCC">
      <w:pPr>
        <w:pStyle w:val="Testonotaapidipagina"/>
      </w:pPr>
      <w:r>
        <w:rPr>
          <w:rStyle w:val="Rimandonotaapidipagina"/>
        </w:rPr>
        <w:footnoteRef/>
      </w:r>
      <w:r>
        <w:t xml:space="preserve"> La maggiorazione di due punti percentuali è quella massima prevista dall’art. 1, comma </w:t>
      </w:r>
      <w:r w:rsidR="001B7162">
        <w:t>802, legge n. 160/2019.</w:t>
      </w:r>
    </w:p>
  </w:footnote>
  <w:footnote w:id="26">
    <w:p w14:paraId="6A43D4BD" w14:textId="77777777" w:rsidR="001D071A" w:rsidRDefault="001D071A">
      <w:pPr>
        <w:pStyle w:val="Testonotaapidipagina"/>
      </w:pPr>
      <w:r>
        <w:rPr>
          <w:rStyle w:val="Rimandonotaapidipagina"/>
        </w:rPr>
        <w:footnoteRef/>
      </w:r>
      <w:r>
        <w:t xml:space="preserve"> Similmente a quanto previsto dall’art. 1, comma 800, legge n. 160/2019 ed art. 1, comma 95, legge n. 199/2025.</w:t>
      </w:r>
    </w:p>
  </w:footnote>
  <w:footnote w:id="27">
    <w:p w14:paraId="474544F4" w14:textId="77777777" w:rsidR="00732E3C" w:rsidRDefault="00732E3C" w:rsidP="00732E3C">
      <w:pPr>
        <w:pStyle w:val="Testonotaapidipagina"/>
      </w:pPr>
      <w:r>
        <w:rPr>
          <w:rStyle w:val="Rimandonotaapidipagina"/>
        </w:rPr>
        <w:footnoteRef/>
      </w:r>
      <w:r>
        <w:t xml:space="preserve"> Ipotesi che si verifica nel caso di attivazione della riscossione in pendenza di giudizio, con pagamento di importi superiori a quelli dovuti in base all’articolo 4 del presente regolamento.</w:t>
      </w:r>
    </w:p>
  </w:footnote>
  <w:footnote w:id="28">
    <w:p w14:paraId="47732CDE" w14:textId="77777777" w:rsidR="00095960" w:rsidRPr="00FF0B96" w:rsidRDefault="00095960">
      <w:pPr>
        <w:pStyle w:val="Testonotaapidipagina"/>
      </w:pPr>
      <w:r>
        <w:rPr>
          <w:rStyle w:val="Rimandonotaapidipagina"/>
        </w:rPr>
        <w:footnoteRef/>
      </w:r>
      <w:r>
        <w:t xml:space="preserve"> Il diniego alla definizione agevolata è espressamente contemplato tra gli atti autonomamente impugnabili </w:t>
      </w:r>
      <w:r w:rsidRPr="00FF0B96">
        <w:t xml:space="preserve">dall’art. 19, comma 1, lett. h), d.lgs. 546/1992. </w:t>
      </w:r>
      <w:r w:rsidRPr="00BE13FF">
        <w:t>Diversamente dalla definizione della lite disciplinata dalla legge n. 197/2022, che prevedeva l’impugnazione dinanzi l’’organo giurisdizionale presso il quale era pendente la controversia, in questo caso l’impugnazione può essere proposta solo davanti alla Corte di giustizia tributaria di primo grado, chiedendo eventualmente la riunione con la causa principale</w:t>
      </w:r>
      <w:r w:rsidRPr="00FF0B96">
        <w:t>.</w:t>
      </w:r>
    </w:p>
  </w:footnote>
  <w:footnote w:id="29">
    <w:p w14:paraId="288D0D87" w14:textId="77777777" w:rsidR="0093222C" w:rsidRPr="00FF0B96" w:rsidRDefault="0093222C">
      <w:pPr>
        <w:pStyle w:val="Testonotaapidipagina"/>
      </w:pPr>
      <w:r w:rsidRPr="00FF0B96">
        <w:rPr>
          <w:rStyle w:val="Rimandonotaapidipagina"/>
        </w:rPr>
        <w:footnoteRef/>
      </w:r>
      <w:r w:rsidRPr="00FF0B96">
        <w:t xml:space="preserve"> Sulla falsa riga di quanto previsto dall’art. 13, comma 2, legge n. 289/2002.</w:t>
      </w:r>
    </w:p>
    <w:p w14:paraId="464CB575" w14:textId="3E197B52" w:rsidR="007D4765" w:rsidRDefault="007D4765">
      <w:pPr>
        <w:pStyle w:val="Testonotaapidipagina"/>
      </w:pPr>
      <w:r w:rsidRPr="00FF0B96">
        <w:t>Come evidenziato nella nota di lettura IFEL</w:t>
      </w:r>
      <w:r w:rsidR="009E69A7" w:rsidRPr="00BE13FF">
        <w:t xml:space="preserve"> che accompagna questo schema di regolamento, </w:t>
      </w:r>
      <w:r w:rsidRPr="00FF0B96">
        <w:t>la</w:t>
      </w:r>
      <w:r>
        <w:t xml:space="preserve"> normativa non prevede, a differenza della definizione delle liti pendenti disciplinata dalla legge n. 197/2022, la sospensione </w:t>
      </w:r>
      <w:r w:rsidRPr="007D4765">
        <w:t xml:space="preserve">dei termini per la costituzione in giudizio o per proporre appello. </w:t>
      </w:r>
      <w:r w:rsidR="00066AE8">
        <w:t xml:space="preserve">Pertanto, non possono essere oggetto di definizione le controversie </w:t>
      </w:r>
      <w:r w:rsidRPr="007D4765">
        <w:t>decise con sentenze definitive alla data di perfezionamento della definizione</w:t>
      </w:r>
      <w:r w:rsidR="00066AE8">
        <w:t>, come precisato nell’articolo 5, comma 6</w:t>
      </w:r>
      <w:r w:rsidRPr="007D4765">
        <w:t>. In sostanza: a) il processo si sospende con la sola presentazione della domanda, ma questo non comporta una sospensione dei termini per appellare; b) poiché l’estinzione del giudizio si verifica solo con il pagamento della prima rata, fino a tale pagamento, si potrebbe verificare il passaggio in giudicato della sentenza e questo diventa ostativo alla definizione agevolata.</w:t>
      </w:r>
    </w:p>
  </w:footnote>
  <w:footnote w:id="30">
    <w:p w14:paraId="07DA12F0" w14:textId="77777777" w:rsidR="0093222C" w:rsidRDefault="0093222C">
      <w:pPr>
        <w:pStyle w:val="Testonotaapidipagina"/>
      </w:pPr>
      <w:r>
        <w:rPr>
          <w:rStyle w:val="Rimandonotaapidipagina"/>
        </w:rPr>
        <w:footnoteRef/>
      </w:r>
      <w:r>
        <w:t xml:space="preserve"> Previsione che consente al Comune, una volta verificato il perfezionamento della definizione, di presentare l’istanza di estinzione del giudizio, se non vi provvede il contribuente.</w:t>
      </w:r>
    </w:p>
  </w:footnote>
  <w:footnote w:id="31">
    <w:p w14:paraId="541534F6" w14:textId="77777777" w:rsidR="00187C51" w:rsidRDefault="00187C51" w:rsidP="00187C51">
      <w:pPr>
        <w:pStyle w:val="Testonotaapidipagina"/>
      </w:pPr>
      <w:r>
        <w:rPr>
          <w:rStyle w:val="Rimandonotaapidipagina"/>
        </w:rPr>
        <w:footnoteRef/>
      </w:r>
      <w:r>
        <w:t xml:space="preserve"> A condizione che alla delibera consiliare si attribuisca l’immediata esecutività.</w:t>
      </w:r>
    </w:p>
  </w:footnote>
  <w:footnote w:id="32">
    <w:p w14:paraId="4C9DAEE9" w14:textId="77777777" w:rsidR="00BA6F58" w:rsidRDefault="00BA6F58" w:rsidP="00114C0C">
      <w:pPr>
        <w:pStyle w:val="Testonotaapidipagina"/>
      </w:pPr>
      <w:r>
        <w:rPr>
          <w:rStyle w:val="Rimandonotaapidipagina"/>
        </w:rPr>
        <w:footnoteRef/>
      </w:r>
      <w:r>
        <w:t xml:space="preserve"> La presente parte disciplina una definizione agevolata delle controversie che comporta la sola riduzione delle sanzioni, sulla falsa riga dell’analoga previsione contenuta nella legge n. 197/2022, che faceva riferimento tanto alla conciliazione agevola</w:t>
      </w:r>
      <w:r w:rsidR="00114C0C">
        <w:t>ta</w:t>
      </w:r>
      <w:r>
        <w:t xml:space="preserve"> tanto alla definizione transattiva delle controversie pendenti innanzi la Corte di Cassazione. A seguito della possibilità di conciliare anche le controversie pendenti innanzi la Corte di Cassazione</w:t>
      </w:r>
      <w:r w:rsidR="00114C0C">
        <w:t xml:space="preserve"> alla data del 4 gennaio 2024, prevista dall’art. 4</w:t>
      </w:r>
      <w:r>
        <w:t xml:space="preserve">, </w:t>
      </w:r>
      <w:r w:rsidR="00114C0C" w:rsidRPr="00114C0C">
        <w:t xml:space="preserve">comma 2-bis, del </w:t>
      </w:r>
      <w:r w:rsidR="00114C0C">
        <w:t>d.lgs. n. 220/2023, è venuta meno la distinzione tra conciliazione ed accordo transattivo.</w:t>
      </w:r>
    </w:p>
  </w:footnote>
  <w:footnote w:id="33">
    <w:p w14:paraId="584C0FE9" w14:textId="77777777" w:rsidR="00BA6F58" w:rsidRPr="00FF0B96" w:rsidRDefault="00BA6F58" w:rsidP="00BA6F58">
      <w:pPr>
        <w:pStyle w:val="Testonotaapidipagina"/>
      </w:pPr>
      <w:r>
        <w:rPr>
          <w:rStyle w:val="Rimandonotaapidipagina"/>
        </w:rPr>
        <w:footnoteRef/>
      </w:r>
      <w:r>
        <w:t xml:space="preserve"> </w:t>
      </w:r>
      <w:r w:rsidRPr="006A7674">
        <w:t>Sono pertanto escluse le controversie che</w:t>
      </w:r>
      <w:r>
        <w:t>,</w:t>
      </w:r>
      <w:r w:rsidRPr="006A7674">
        <w:t xml:space="preserve"> pur riguardando atti emessi dal Comune</w:t>
      </w:r>
      <w:r>
        <w:t>,</w:t>
      </w:r>
      <w:r w:rsidRPr="006A7674">
        <w:t xml:space="preserve"> n</w:t>
      </w:r>
      <w:r>
        <w:t>on vedono come parte processuale</w:t>
      </w:r>
      <w:r w:rsidRPr="006A7674">
        <w:t xml:space="preserve"> il Comune stesso.</w:t>
      </w:r>
      <w:r>
        <w:t xml:space="preserve"> Ipotesi, questa, che si verifica normalmente in caso di impugnazione della cartella di pagamento, con ricorso non notificato anche al Comune. Al riguardo si rammenta che l’art. 14, comma 6-bis, d.lgs. n. 546 del 1992 prevede che “</w:t>
      </w:r>
      <w:r w:rsidRPr="00C1108F">
        <w:rPr>
          <w:i/>
          <w:iCs/>
        </w:rPr>
        <w:t xml:space="preserve">in caso di vizi della notificazione eccepiti nei riguardi di un atto presupposto emesso da un soggetto diverso da quello che ha emesso l'atto impugnato, il ricorso è sempre proposto nei confronti di entrambi i </w:t>
      </w:r>
      <w:r w:rsidRPr="00FF0B96">
        <w:rPr>
          <w:i/>
          <w:iCs/>
        </w:rPr>
        <w:t>soggetti</w:t>
      </w:r>
      <w:r w:rsidRPr="00FF0B96">
        <w:t xml:space="preserve">”. </w:t>
      </w:r>
      <w:r w:rsidRPr="006B0834">
        <w:t xml:space="preserve">Pertanto, il Comune può risultare “parte” anche in un processo relativo all’impugnazione di un atto di Ader. Anche in tale ipotesi la controversia può essere definita, ma al suo perfezionamento deve conseguire uno sgravio del carico affidato </w:t>
      </w:r>
      <w:proofErr w:type="gramStart"/>
      <w:r w:rsidRPr="006B0834">
        <w:t>ad</w:t>
      </w:r>
      <w:proofErr w:type="gramEnd"/>
      <w:r w:rsidRPr="006B0834">
        <w:t xml:space="preserve"> Ader, relativamente al minor importo dovuto per effetto della definizione.</w:t>
      </w:r>
    </w:p>
  </w:footnote>
  <w:footnote w:id="34">
    <w:p w14:paraId="790B53BA" w14:textId="77777777" w:rsidR="00732E3C" w:rsidRDefault="00732E3C" w:rsidP="00732E3C">
      <w:pPr>
        <w:pStyle w:val="Testonotaapidipagina"/>
      </w:pPr>
      <w:r w:rsidRPr="00FF0B96">
        <w:rPr>
          <w:rStyle w:val="Rimandonotaapidipagina"/>
        </w:rPr>
        <w:footnoteRef/>
      </w:r>
      <w:r w:rsidRPr="00FF0B96">
        <w:t xml:space="preserve"> </w:t>
      </w:r>
      <w:r w:rsidR="001646A0" w:rsidRPr="00FF0B96">
        <w:t xml:space="preserve">Questa parte del regolamento, </w:t>
      </w:r>
      <w:r w:rsidRPr="00FF0B96">
        <w:t>a differenza della definizione delle liti pendenti, ove si fa riferimento a tutte le controversie attribuite alla giurisdizione tributaria, contempla solo gli atti impositivi</w:t>
      </w:r>
      <w:r>
        <w:t>, escludendo quindi le controversie relative alle cartelle di pagamento o alle ingiunzioni di pagamento, le quali avendo come presupposto un atto di accertamento definitivo, difficilmente possono essere oggetto di accordo conciliativo, che presuppone pur sempre della materia concordabile, oltre alla considerazione che tali atti non sono soggetti ad ulteriori sanzioni, salvo l’ipotesi di applicazione della sanzione di cui all’art. 15-ter, d.P.R. 602/1973.</w:t>
      </w:r>
    </w:p>
  </w:footnote>
  <w:footnote w:id="35">
    <w:p w14:paraId="429810F7" w14:textId="77777777" w:rsidR="00DF1444" w:rsidRDefault="00DF1444">
      <w:pPr>
        <w:pStyle w:val="Testonotaapidipagina"/>
      </w:pPr>
      <w:r>
        <w:rPr>
          <w:rStyle w:val="Rimandonotaapidipagina"/>
        </w:rPr>
        <w:footnoteRef/>
      </w:r>
      <w:r>
        <w:t xml:space="preserve"> O il suo concessionario o società in house.</w:t>
      </w:r>
    </w:p>
  </w:footnote>
  <w:footnote w:id="36">
    <w:p w14:paraId="5ECF9A16" w14:textId="77777777" w:rsidR="00732E3C" w:rsidRDefault="00732E3C" w:rsidP="00732E3C">
      <w:pPr>
        <w:pStyle w:val="Testonotaapidipagina"/>
      </w:pPr>
      <w:r w:rsidRPr="00155F09">
        <w:rPr>
          <w:rStyle w:val="Rimandonotaapidipagina"/>
        </w:rPr>
        <w:footnoteRef/>
      </w:r>
      <w:r w:rsidRPr="00155F09">
        <w:t xml:space="preserve"> </w:t>
      </w:r>
      <w:r w:rsidRPr="003F1A7C">
        <w:t>Il riferimento alla conciliazione fuori udienza ordinariamente disciplinata dall’art. 48, d.lgs. 546/1992, permette anche una conciliazione giudiziale parziale della controversia.</w:t>
      </w:r>
      <w:r w:rsidRPr="00155F09">
        <w:t xml:space="preserve"> </w:t>
      </w:r>
      <w:r w:rsidRPr="003F1A7C">
        <w:t>In tale senso, si veda anche Agenzia delle entrate, circolare n. 2/2023.</w:t>
      </w:r>
    </w:p>
    <w:p w14:paraId="5D572D56" w14:textId="77777777" w:rsidR="00DF1444" w:rsidRDefault="00DF1444" w:rsidP="00732E3C">
      <w:pPr>
        <w:pStyle w:val="Testonotaapidipagina"/>
      </w:pPr>
      <w:r>
        <w:t xml:space="preserve">Si ricorda che dal 1° gennaio 2027 il riferimento all’art. 48, d.lgs. n. 546/1992 va sostituito con l’art. </w:t>
      </w:r>
      <w:r w:rsidRPr="00DF1444">
        <w:t xml:space="preserve">99, </w:t>
      </w:r>
      <w:r>
        <w:t xml:space="preserve">d.lgs. n. </w:t>
      </w:r>
      <w:r w:rsidRPr="00DF1444">
        <w:t>175/2024</w:t>
      </w:r>
      <w:r>
        <w:t>.</w:t>
      </w:r>
    </w:p>
  </w:footnote>
  <w:footnote w:id="37">
    <w:p w14:paraId="747312EE" w14:textId="77777777" w:rsidR="00432608" w:rsidRDefault="00732E3C" w:rsidP="00732E3C">
      <w:pPr>
        <w:pStyle w:val="Testonotaapidipagina"/>
      </w:pPr>
      <w:r>
        <w:rPr>
          <w:rStyle w:val="Rimandonotaapidipagina"/>
        </w:rPr>
        <w:footnoteRef/>
      </w:r>
      <w:r>
        <w:t xml:space="preserve"> </w:t>
      </w:r>
      <w:r w:rsidR="00432608">
        <w:t>Sulla falsa riga di quanto previsto dall’</w:t>
      </w:r>
      <w:r>
        <w:t>art. 1, comma 207, legge 197/2022</w:t>
      </w:r>
      <w:r w:rsidR="00432608">
        <w:t xml:space="preserve">. Si ricorda che </w:t>
      </w:r>
      <w:r>
        <w:t>l’art. 48-ter, d.lgs. 546/1992</w:t>
      </w:r>
      <w:r w:rsidR="00432608">
        <w:t xml:space="preserve"> prevede che le</w:t>
      </w:r>
      <w:r w:rsidR="00432608" w:rsidRPr="00432608">
        <w:t xml:space="preserve"> sanzioni amministrative si applicano nella misura del quaranta per cento del minimo previsto dalla legge, in caso di perfezionamento della conciliazione nel corso del primo grado di giudizio e nella misura del cinquanta per cento del minimo previsto dalla legge, in caso di perfezionamento nel corso del secondo grado di giudizio e nella misura del sessanta per cento del minimo previsto dalla legge in caso di perfezionamento della conciliazione nel corso del giudizio di Cassazione</w:t>
      </w:r>
      <w:r w:rsidR="00432608">
        <w:t>.</w:t>
      </w:r>
    </w:p>
    <w:p w14:paraId="7DAA3ABB" w14:textId="77777777" w:rsidR="00732E3C" w:rsidRDefault="00432608" w:rsidP="00432608">
      <w:pPr>
        <w:pStyle w:val="Testonotaapidipagina"/>
      </w:pPr>
      <w:r>
        <w:t xml:space="preserve">Ovviamente, il Comune può prevedere liberamente un diverso ammontare di riduzione delle sanzioni. </w:t>
      </w:r>
    </w:p>
    <w:p w14:paraId="61F398B2" w14:textId="20F704AE" w:rsidR="001313F1" w:rsidRDefault="007C3479" w:rsidP="00432608">
      <w:pPr>
        <w:pStyle w:val="Testonotaapidipagina"/>
      </w:pPr>
      <w:r w:rsidRPr="007C3479">
        <w:t>In alternativa è possibile anche graduare la riduzione delle sanzioni a seconda del grado di giudizio in cui si trova la controversia. Ad esempio, sarebbe possibile prevedere che la sanzione prevista dall’art. 48-ter, d.lgs. n. 546/1992 è ulteriormente ridotta ad un ottavo di quella ivi prevista per i vari gradi di giudizio.</w:t>
      </w:r>
    </w:p>
  </w:footnote>
  <w:footnote w:id="38">
    <w:p w14:paraId="2A76E992" w14:textId="77777777" w:rsidR="00187C51" w:rsidRDefault="00187C51" w:rsidP="00187C51">
      <w:pPr>
        <w:pStyle w:val="Testonotaapidipagina"/>
      </w:pPr>
      <w:r>
        <w:rPr>
          <w:rStyle w:val="Rimandonotaapidipagina"/>
        </w:rPr>
        <w:footnoteRef/>
      </w:r>
      <w:r>
        <w:t xml:space="preserve"> A condizione che alla delibera consiliare si attribuisca l’immediata esecutività.</w:t>
      </w:r>
    </w:p>
  </w:footnote>
  <w:footnote w:id="39">
    <w:p w14:paraId="2EEB5337" w14:textId="5B0B28BA" w:rsidR="00185133" w:rsidRDefault="00185133">
      <w:pPr>
        <w:pStyle w:val="Testonotaapidipagina"/>
      </w:pPr>
      <w:r>
        <w:rPr>
          <w:rStyle w:val="Rimandonotaapidipagina"/>
        </w:rPr>
        <w:footnoteRef/>
      </w:r>
      <w:r>
        <w:t xml:space="preserve"> </w:t>
      </w:r>
      <w:r w:rsidR="00AC7D64">
        <w:t>P</w:t>
      </w:r>
      <w:r>
        <w:t>er quanto disposto dall’art. 1, comma 109, legge 197/2025</w:t>
      </w:r>
      <w:r w:rsidR="00AC7D64">
        <w:t>, anche in questo caso il regolamento può riguardare i tributi e le entrate patrimoniali</w:t>
      </w:r>
      <w:r>
        <w:t>.</w:t>
      </w:r>
    </w:p>
  </w:footnote>
  <w:footnote w:id="40">
    <w:p w14:paraId="14E44245" w14:textId="77777777" w:rsidR="00732E3C" w:rsidRDefault="00732E3C" w:rsidP="00732E3C">
      <w:pPr>
        <w:pStyle w:val="Testonotaapidipagina"/>
      </w:pPr>
      <w:r>
        <w:rPr>
          <w:rStyle w:val="Rimandonotaapidipagina"/>
        </w:rPr>
        <w:footnoteRef/>
      </w:r>
      <w:r>
        <w:t xml:space="preserve"> Di cui all’art. 1, comma 792, legge 160/2019.</w:t>
      </w:r>
    </w:p>
  </w:footnote>
  <w:footnote w:id="41">
    <w:p w14:paraId="13CF0A04" w14:textId="77777777" w:rsidR="00732E3C" w:rsidRDefault="00732E3C" w:rsidP="00732E3C">
      <w:pPr>
        <w:pStyle w:val="Testonotaapidipagina"/>
      </w:pPr>
      <w:r>
        <w:rPr>
          <w:rStyle w:val="Rimandonotaapidipagina"/>
        </w:rPr>
        <w:footnoteRef/>
      </w:r>
      <w:r>
        <w:t xml:space="preserve"> Nell’ipotesi degli accertamenti esecutivi.</w:t>
      </w:r>
    </w:p>
  </w:footnote>
  <w:footnote w:id="42">
    <w:p w14:paraId="2447D19F" w14:textId="2D69ADB4" w:rsidR="007C0F08" w:rsidRDefault="007C0F08">
      <w:pPr>
        <w:pStyle w:val="Testonotaapidipagina"/>
      </w:pPr>
      <w:r>
        <w:rPr>
          <w:rStyle w:val="Rimandonotaapidipagina"/>
        </w:rPr>
        <w:footnoteRef/>
      </w:r>
      <w:r>
        <w:t xml:space="preserve"> </w:t>
      </w:r>
      <w:r w:rsidR="00F1182C" w:rsidRPr="00F1182C">
        <w:t>Come per le altre forme di definizione agevolata il Comune può prevedere autonomamente il piano di rateizzazione come pure il tasso di interesse, che comunque non può superare il 2% del tasso di interesse legale</w:t>
      </w:r>
      <w:r w:rsidR="00FE4AEC">
        <w:t>.</w:t>
      </w:r>
    </w:p>
  </w:footnote>
  <w:footnote w:id="43">
    <w:p w14:paraId="7ABCBE00" w14:textId="63A7FE47" w:rsidR="00194738" w:rsidRDefault="00194738">
      <w:pPr>
        <w:pStyle w:val="Testonotaapidipagina"/>
      </w:pPr>
      <w:r>
        <w:rPr>
          <w:rStyle w:val="Rimandonotaapidipagina"/>
        </w:rPr>
        <w:footnoteRef/>
      </w:r>
      <w:r>
        <w:t xml:space="preserve"> </w:t>
      </w:r>
      <w:r w:rsidR="00FE4AEC" w:rsidRPr="00FE4AEC">
        <w:t>Il che costituisce un ulteriore beneficio della definizione agevolata</w:t>
      </w:r>
      <w:r w:rsidR="00FE4AEC">
        <w:t>.</w:t>
      </w:r>
    </w:p>
  </w:footnote>
  <w:footnote w:id="44">
    <w:p w14:paraId="2F848EB6" w14:textId="4A9C2555" w:rsidR="00F478C9" w:rsidRDefault="00F478C9">
      <w:pPr>
        <w:pStyle w:val="Testonotaapidipagina"/>
      </w:pPr>
      <w:r>
        <w:rPr>
          <w:rStyle w:val="Rimandonotaapidipagina"/>
        </w:rPr>
        <w:footnoteRef/>
      </w:r>
      <w:r>
        <w:t xml:space="preserve"> </w:t>
      </w:r>
      <w:r w:rsidR="00703A7C" w:rsidRPr="00703A7C">
        <w:t>Si ricorda che in caso di rateazione degli importi dovuti sulla base di un accertamento con adesione, accordo di mediazione o conciliazione giudiziale trova applicazione l’art. 15-ter, d.P.R. n. 602/1973, il quale prevede che “il mancato pagamento di una delle rate diverse dalla prima entro il termine di pagamento della rata successiva comporta la decadenza dal beneficio della rateazione e l'iscrizione a ruolo dei residui importi dovuti a titolo di imposta, interessi e sanzioni, nonché della sanzione di cui all'articolo 13 del decreto legislativo 18 dicembre 1997, n. 471, aumentata della metà e applicata sul residuo importo dovuto a titolo di imposta”</w:t>
      </w:r>
      <w:r w:rsidR="00703A7C">
        <w:t>.</w:t>
      </w:r>
    </w:p>
  </w:footnote>
  <w:footnote w:id="45">
    <w:p w14:paraId="59E85B1D" w14:textId="77777777" w:rsidR="00732E3C" w:rsidRDefault="00732E3C" w:rsidP="00732E3C">
      <w:pPr>
        <w:pStyle w:val="Testonotaapidipagina"/>
      </w:pPr>
      <w:r>
        <w:rPr>
          <w:rStyle w:val="Rimandonotaapidipagina"/>
        </w:rPr>
        <w:footnoteRef/>
      </w:r>
      <w:r>
        <w:t xml:space="preserve"> E quindi il </w:t>
      </w:r>
      <w:proofErr w:type="spellStart"/>
      <w:r w:rsidRPr="00E25356">
        <w:rPr>
          <w:i/>
          <w:iCs/>
        </w:rPr>
        <w:t>dies</w:t>
      </w:r>
      <w:proofErr w:type="spellEnd"/>
      <w:r w:rsidRPr="00E25356">
        <w:rPr>
          <w:i/>
          <w:iCs/>
        </w:rPr>
        <w:t xml:space="preserve"> a quo</w:t>
      </w:r>
      <w:r>
        <w:t xml:space="preserve"> coincide con il termine di pagamento della rata non pagata, conformemente a quanto statuito anche dalla giurisprudenza di legittimità (da ultimo, Cass. n. 37389/2022).</w:t>
      </w:r>
    </w:p>
  </w:footnote>
  <w:footnote w:id="46">
    <w:p w14:paraId="41FC51DC" w14:textId="77777777" w:rsidR="00732E3C" w:rsidRDefault="00732E3C" w:rsidP="00732E3C">
      <w:pPr>
        <w:pStyle w:val="Testonotaapidipagina"/>
      </w:pPr>
      <w:r>
        <w:rPr>
          <w:rStyle w:val="Rimandonotaapidipagina"/>
        </w:rPr>
        <w:footnoteRef/>
      </w:r>
      <w:r>
        <w:t xml:space="preserve"> A condizione che alla delibera consiliare si attribuisca l’immediata esecutività.</w:t>
      </w:r>
    </w:p>
  </w:footnote>
  <w:footnote w:id="47">
    <w:p w14:paraId="07DD3519" w14:textId="77777777" w:rsidR="00DA516D" w:rsidRDefault="00DA516D">
      <w:pPr>
        <w:pStyle w:val="Testonotaapidipagina"/>
      </w:pPr>
      <w:r>
        <w:rPr>
          <w:rStyle w:val="Rimandonotaapidipagina"/>
        </w:rPr>
        <w:footnoteRef/>
      </w:r>
      <w:r>
        <w:t xml:space="preserve"> Ovviamente è possibile prevede forme di definizione agevolata anche per l’IMU, il CUP e le altre entrate patrimoniali, cumulativamente o singolarmente. Per l’IMU si pone il problema della possibilità del Comune di prevedere forme di definizione agevolata per la quota di competenza statale, che comunque sarebbe acquisita direttamente dallo Stato, in quanto questo tipo di definizione presuppone un adempimento spontaneo, al pari di un ravvedimento operoso.</w:t>
      </w:r>
    </w:p>
  </w:footnote>
  <w:footnote w:id="48">
    <w:p w14:paraId="0BCC6341" w14:textId="77777777" w:rsidR="003456DC" w:rsidRDefault="003456DC">
      <w:pPr>
        <w:pStyle w:val="Testonotaapidipagina"/>
      </w:pPr>
      <w:r>
        <w:rPr>
          <w:rStyle w:val="Rimandonotaapidipagina"/>
        </w:rPr>
        <w:footnoteRef/>
      </w:r>
      <w:r>
        <w:t xml:space="preserve"> È possibile prevedere anche il solo pagamento degli interessi legali, come è pure possibile prevedere l’applicazione di sanzioni minime, sempre considerando che la definizione deve essere più “conveniente” per il debitore rispetto a quanto dovuto con il ravvedimento operoso.</w:t>
      </w:r>
    </w:p>
  </w:footnote>
  <w:footnote w:id="49">
    <w:p w14:paraId="3B087A5F" w14:textId="77777777" w:rsidR="00DA39C5" w:rsidRDefault="00DA39C5">
      <w:pPr>
        <w:pStyle w:val="Testonotaapidipagina"/>
      </w:pPr>
      <w:r>
        <w:rPr>
          <w:rStyle w:val="Rimandonotaapidipagina"/>
        </w:rPr>
        <w:footnoteRef/>
      </w:r>
      <w:r>
        <w:t xml:space="preserve"> Il Comune potrebbe prevedere anche una data fissa per il versamento dell’IMU, la cui quantificazione può essere effettuata direttamente dal contribuente, mentre per la TARI ed il CUP l’importo da versare deve essere necessariamente determinato dall’ente.</w:t>
      </w:r>
    </w:p>
  </w:footnote>
  <w:footnote w:id="50">
    <w:p w14:paraId="4F4B6C79" w14:textId="77777777" w:rsidR="009C77E1" w:rsidRDefault="009C77E1">
      <w:pPr>
        <w:pStyle w:val="Testonotaapidipagina"/>
      </w:pPr>
      <w:r>
        <w:rPr>
          <w:rStyle w:val="Rimandonotaapidipagina"/>
        </w:rPr>
        <w:footnoteRef/>
      </w:r>
      <w:r>
        <w:t xml:space="preserve"> Il termine deve scadere in data successiva al sessantesimo giorno di pubblicazione del regolamento sul sito </w:t>
      </w:r>
      <w:r w:rsidRPr="009C77E1">
        <w:rPr>
          <w:i/>
          <w:iCs/>
        </w:rPr>
        <w:t>internet</w:t>
      </w:r>
      <w:r>
        <w:t xml:space="preserve"> istituzionale dell’ente.</w:t>
      </w:r>
    </w:p>
  </w:footnote>
  <w:footnote w:id="51">
    <w:p w14:paraId="1B8D2F42" w14:textId="77777777" w:rsidR="00FE3726" w:rsidRDefault="00FE3726">
      <w:pPr>
        <w:pStyle w:val="Testonotaapidipagina"/>
      </w:pPr>
      <w:r>
        <w:rPr>
          <w:rStyle w:val="Rimandonotaapidipagina"/>
        </w:rPr>
        <w:footnoteRef/>
      </w:r>
      <w:r>
        <w:t xml:space="preserve"> La rateizzazione può essere calibrata anche rispetto al numero di annualità oggetto di definizione agevolata.</w:t>
      </w:r>
    </w:p>
  </w:footnote>
  <w:footnote w:id="52">
    <w:p w14:paraId="125AAD87" w14:textId="77777777" w:rsidR="008F6903" w:rsidRDefault="008F6903">
      <w:pPr>
        <w:pStyle w:val="Testonotaapidipagina"/>
      </w:pPr>
      <w:r>
        <w:rPr>
          <w:rStyle w:val="Rimandonotaapidipagina"/>
        </w:rPr>
        <w:footnoteRef/>
      </w:r>
      <w:r>
        <w:t xml:space="preserve"> La necessità di prevedere entro il primo anno il pagamento dell’annualità più vecchia </w:t>
      </w:r>
      <w:r w:rsidR="00E712F3">
        <w:t>è motivata</w:t>
      </w:r>
      <w:r>
        <w:t xml:space="preserve"> dal fatto che in caso di successivo mancato pagamento delle rate, la mancata definizione non riapre i termini decadenziali di accertamento previsti dall’art. 1, comma 161, legge n. 296/2006.</w:t>
      </w:r>
    </w:p>
  </w:footnote>
  <w:footnote w:id="53">
    <w:p w14:paraId="3BBFD083" w14:textId="77777777" w:rsidR="008F6903" w:rsidRDefault="008F6903">
      <w:pPr>
        <w:pStyle w:val="Testonotaapidipagina"/>
      </w:pPr>
      <w:r>
        <w:rPr>
          <w:rStyle w:val="Rimandonotaapidipagina"/>
        </w:rPr>
        <w:footnoteRef/>
      </w:r>
      <w:r>
        <w:t xml:space="preserve"> La rateazione deve essere distinta per ognuna delle entrate oggetto di definizione agevolata.</w:t>
      </w:r>
    </w:p>
  </w:footnote>
  <w:footnote w:id="54">
    <w:p w14:paraId="48AEFB78" w14:textId="77777777" w:rsidR="00496906" w:rsidRDefault="00496906">
      <w:pPr>
        <w:pStyle w:val="Testonotaapidipagina"/>
      </w:pPr>
      <w:r>
        <w:rPr>
          <w:rStyle w:val="Rimandonotaapidipagina"/>
        </w:rPr>
        <w:footnoteRef/>
      </w:r>
      <w:r>
        <w:t xml:space="preserve"> Opzionale.</w:t>
      </w:r>
    </w:p>
  </w:footnote>
  <w:footnote w:id="55">
    <w:p w14:paraId="7BF2082D" w14:textId="77777777" w:rsidR="007650D3" w:rsidRDefault="007650D3" w:rsidP="007650D3">
      <w:pPr>
        <w:pStyle w:val="Testonotaapidipagina"/>
      </w:pPr>
      <w:r>
        <w:rPr>
          <w:rStyle w:val="Rimandonotaapidipagina"/>
        </w:rPr>
        <w:footnoteRef/>
      </w:r>
      <w:r>
        <w:t xml:space="preserve"> In alternativa, il tasso di interesse moratorio regolamentato dal Comune ai sensi dell’art. 1 comma 802, legge n. 160/2019.</w:t>
      </w:r>
    </w:p>
  </w:footnote>
  <w:footnote w:id="56">
    <w:p w14:paraId="57B1A98F" w14:textId="53C92570" w:rsidR="00FE47D4" w:rsidRDefault="00FE47D4">
      <w:pPr>
        <w:pStyle w:val="Testonotaapidipagina"/>
      </w:pPr>
      <w:r w:rsidRPr="002825D5">
        <w:rPr>
          <w:rStyle w:val="Rimandonotaapidipagina"/>
        </w:rPr>
        <w:footnoteRef/>
      </w:r>
      <w:r w:rsidRPr="002825D5">
        <w:t xml:space="preserve"> Con riferimento al</w:t>
      </w:r>
      <w:r w:rsidR="005D0C5C" w:rsidRPr="002825D5">
        <w:t>le entrate patrimoniali.</w:t>
      </w:r>
    </w:p>
  </w:footnote>
  <w:footnote w:id="57">
    <w:p w14:paraId="55C2B3E8" w14:textId="77777777" w:rsidR="00FE47D4" w:rsidRDefault="00FE47D4" w:rsidP="00FE47D4">
      <w:pPr>
        <w:pStyle w:val="Testonotaapidipagina"/>
      </w:pPr>
      <w:r>
        <w:rPr>
          <w:rStyle w:val="Rimandonotaapidipagina"/>
        </w:rPr>
        <w:footnoteRef/>
      </w:r>
      <w:r>
        <w:t xml:space="preserve"> A condizione che alla delibera consiliare si attribuisca l’immediata esecutività.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34"/>
      <w:gridCol w:w="6404"/>
    </w:tblGrid>
    <w:tr w:rsidR="00C92DE8" w:rsidRPr="0088738B" w14:paraId="5C87991E" w14:textId="77777777">
      <w:tc>
        <w:tcPr>
          <w:tcW w:w="3259" w:type="dxa"/>
          <w:vAlign w:val="center"/>
        </w:tcPr>
        <w:p w14:paraId="377CA594" w14:textId="00406BBA" w:rsidR="00C92DE8" w:rsidRPr="005632F9" w:rsidRDefault="00901BE4">
          <w:pPr>
            <w:pStyle w:val="Intestazione"/>
            <w:tabs>
              <w:tab w:val="clear" w:pos="4819"/>
              <w:tab w:val="clear" w:pos="9638"/>
            </w:tabs>
          </w:pPr>
          <w:r w:rsidRPr="003B5E37">
            <w:rPr>
              <w:noProof/>
            </w:rPr>
            <w:drawing>
              <wp:inline distT="0" distB="0" distL="0" distR="0" wp14:anchorId="1B24AFAB" wp14:editId="7FE7F21E">
                <wp:extent cx="747395" cy="628015"/>
                <wp:effectExtent l="0" t="0" r="0" b="0"/>
                <wp:docPr id="1" name="Immagine 234234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42342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628015"/>
                        </a:xfrm>
                        <a:prstGeom prst="rect">
                          <a:avLst/>
                        </a:prstGeom>
                        <a:noFill/>
                        <a:ln>
                          <a:noFill/>
                        </a:ln>
                      </pic:spPr>
                    </pic:pic>
                  </a:graphicData>
                </a:graphic>
              </wp:inline>
            </w:drawing>
          </w:r>
        </w:p>
      </w:tc>
      <w:tc>
        <w:tcPr>
          <w:tcW w:w="6488" w:type="dxa"/>
          <w:vAlign w:val="center"/>
        </w:tcPr>
        <w:p w14:paraId="43E8FEE6" w14:textId="77777777" w:rsidR="00C92DE8" w:rsidRPr="00DD5D5D" w:rsidRDefault="00C92DE8">
          <w:pPr>
            <w:pStyle w:val="Intestazione"/>
            <w:tabs>
              <w:tab w:val="clear" w:pos="4819"/>
              <w:tab w:val="clear" w:pos="9638"/>
            </w:tabs>
            <w:jc w:val="right"/>
            <w:rPr>
              <w:i/>
              <w:iCs/>
              <w:sz w:val="20"/>
              <w:szCs w:val="20"/>
            </w:rPr>
          </w:pPr>
        </w:p>
      </w:tc>
    </w:tr>
  </w:tbl>
  <w:p w14:paraId="5909EC63" w14:textId="77777777" w:rsidR="00C92DE8" w:rsidRDefault="00C92DE8" w:rsidP="00C92DE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6294F"/>
    <w:multiLevelType w:val="hybridMultilevel"/>
    <w:tmpl w:val="D63E912A"/>
    <w:lvl w:ilvl="0" w:tplc="F78EC76A">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1" w15:restartNumberingAfterBreak="0">
    <w:nsid w:val="527A614E"/>
    <w:multiLevelType w:val="hybridMultilevel"/>
    <w:tmpl w:val="7C5C7C84"/>
    <w:lvl w:ilvl="0" w:tplc="5656B51C">
      <w:start w:val="7"/>
      <w:numFmt w:val="bullet"/>
      <w:lvlText w:val="-"/>
      <w:lvlJc w:val="left"/>
      <w:pPr>
        <w:ind w:left="757" w:hanging="360"/>
      </w:pPr>
      <w:rPr>
        <w:rFonts w:ascii="Garamond" w:eastAsia="Times New Roman" w:hAnsi="Garamond" w:cs="Times New Roman" w:hint="default"/>
      </w:rPr>
    </w:lvl>
    <w:lvl w:ilvl="1" w:tplc="04100003">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 w15:restartNumberingAfterBreak="0">
    <w:nsid w:val="5B121B47"/>
    <w:multiLevelType w:val="hybridMultilevel"/>
    <w:tmpl w:val="0C4C163E"/>
    <w:lvl w:ilvl="0" w:tplc="F806B30A">
      <w:start w:val="3"/>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622CC7"/>
    <w:multiLevelType w:val="hybridMultilevel"/>
    <w:tmpl w:val="2826924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15:restartNumberingAfterBreak="0">
    <w:nsid w:val="757019D9"/>
    <w:multiLevelType w:val="hybridMultilevel"/>
    <w:tmpl w:val="15000EF6"/>
    <w:lvl w:ilvl="0" w:tplc="C264030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885600746">
    <w:abstractNumId w:val="1"/>
  </w:num>
  <w:num w:numId="2" w16cid:durableId="774906071">
    <w:abstractNumId w:val="2"/>
  </w:num>
  <w:num w:numId="3" w16cid:durableId="257491100">
    <w:abstractNumId w:val="0"/>
  </w:num>
  <w:num w:numId="4" w16cid:durableId="1450319856">
    <w:abstractNumId w:val="3"/>
  </w:num>
  <w:num w:numId="5" w16cid:durableId="809907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86"/>
    <w:rsid w:val="0001465E"/>
    <w:rsid w:val="00021D92"/>
    <w:rsid w:val="00023E8C"/>
    <w:rsid w:val="00032294"/>
    <w:rsid w:val="000336A4"/>
    <w:rsid w:val="00040E3E"/>
    <w:rsid w:val="000434A9"/>
    <w:rsid w:val="00047551"/>
    <w:rsid w:val="00047557"/>
    <w:rsid w:val="00050B39"/>
    <w:rsid w:val="0006233A"/>
    <w:rsid w:val="00066182"/>
    <w:rsid w:val="00066AE8"/>
    <w:rsid w:val="00073661"/>
    <w:rsid w:val="00080648"/>
    <w:rsid w:val="00095960"/>
    <w:rsid w:val="00095BE5"/>
    <w:rsid w:val="000B4F72"/>
    <w:rsid w:val="000B6328"/>
    <w:rsid w:val="000B69A8"/>
    <w:rsid w:val="000B7FC8"/>
    <w:rsid w:val="000C3364"/>
    <w:rsid w:val="000D038E"/>
    <w:rsid w:val="000D1C51"/>
    <w:rsid w:val="00101A27"/>
    <w:rsid w:val="001120EF"/>
    <w:rsid w:val="00114730"/>
    <w:rsid w:val="00114C0C"/>
    <w:rsid w:val="0012334B"/>
    <w:rsid w:val="001242DD"/>
    <w:rsid w:val="001313F1"/>
    <w:rsid w:val="0015266E"/>
    <w:rsid w:val="00163FFD"/>
    <w:rsid w:val="001646A0"/>
    <w:rsid w:val="001705B5"/>
    <w:rsid w:val="00181B95"/>
    <w:rsid w:val="00185133"/>
    <w:rsid w:val="00187C51"/>
    <w:rsid w:val="00191019"/>
    <w:rsid w:val="001926A9"/>
    <w:rsid w:val="00194738"/>
    <w:rsid w:val="001B2BE5"/>
    <w:rsid w:val="001B7162"/>
    <w:rsid w:val="001C4511"/>
    <w:rsid w:val="001D071A"/>
    <w:rsid w:val="001D21CD"/>
    <w:rsid w:val="001E30EA"/>
    <w:rsid w:val="001E43AF"/>
    <w:rsid w:val="001F067B"/>
    <w:rsid w:val="00200F67"/>
    <w:rsid w:val="002211B9"/>
    <w:rsid w:val="0023334C"/>
    <w:rsid w:val="00241BDA"/>
    <w:rsid w:val="0025720C"/>
    <w:rsid w:val="00260B3A"/>
    <w:rsid w:val="00267062"/>
    <w:rsid w:val="00271603"/>
    <w:rsid w:val="002825D5"/>
    <w:rsid w:val="00290554"/>
    <w:rsid w:val="0029635C"/>
    <w:rsid w:val="002A0235"/>
    <w:rsid w:val="002B1C9C"/>
    <w:rsid w:val="002B47E6"/>
    <w:rsid w:val="002E76CD"/>
    <w:rsid w:val="002F0FC9"/>
    <w:rsid w:val="002F67E2"/>
    <w:rsid w:val="00306018"/>
    <w:rsid w:val="00313385"/>
    <w:rsid w:val="00316320"/>
    <w:rsid w:val="00324DB6"/>
    <w:rsid w:val="00325239"/>
    <w:rsid w:val="00334697"/>
    <w:rsid w:val="0034257F"/>
    <w:rsid w:val="003456DC"/>
    <w:rsid w:val="0035129A"/>
    <w:rsid w:val="00353357"/>
    <w:rsid w:val="00353D34"/>
    <w:rsid w:val="00354056"/>
    <w:rsid w:val="003562C3"/>
    <w:rsid w:val="00356353"/>
    <w:rsid w:val="003571C9"/>
    <w:rsid w:val="00366808"/>
    <w:rsid w:val="00382706"/>
    <w:rsid w:val="0039166E"/>
    <w:rsid w:val="0039705A"/>
    <w:rsid w:val="003A1A1C"/>
    <w:rsid w:val="003F5667"/>
    <w:rsid w:val="004029BE"/>
    <w:rsid w:val="00403F7B"/>
    <w:rsid w:val="0040531E"/>
    <w:rsid w:val="00432608"/>
    <w:rsid w:val="00435FDD"/>
    <w:rsid w:val="004404A3"/>
    <w:rsid w:val="004418A7"/>
    <w:rsid w:val="00444103"/>
    <w:rsid w:val="00450455"/>
    <w:rsid w:val="0045090B"/>
    <w:rsid w:val="00456E8B"/>
    <w:rsid w:val="00461C71"/>
    <w:rsid w:val="0047125F"/>
    <w:rsid w:val="00475CCF"/>
    <w:rsid w:val="00476327"/>
    <w:rsid w:val="00487F1F"/>
    <w:rsid w:val="00496906"/>
    <w:rsid w:val="004A0F90"/>
    <w:rsid w:val="004A2139"/>
    <w:rsid w:val="004A38F1"/>
    <w:rsid w:val="004A4747"/>
    <w:rsid w:val="004A5A4D"/>
    <w:rsid w:val="004A7152"/>
    <w:rsid w:val="004B2FD8"/>
    <w:rsid w:val="004B42F9"/>
    <w:rsid w:val="004C27A3"/>
    <w:rsid w:val="004C55BD"/>
    <w:rsid w:val="004D27A7"/>
    <w:rsid w:val="004D474A"/>
    <w:rsid w:val="004D4B33"/>
    <w:rsid w:val="004D7497"/>
    <w:rsid w:val="004E14CB"/>
    <w:rsid w:val="004E2FF6"/>
    <w:rsid w:val="004E7734"/>
    <w:rsid w:val="004F742A"/>
    <w:rsid w:val="00504EF1"/>
    <w:rsid w:val="00512B2D"/>
    <w:rsid w:val="005136D0"/>
    <w:rsid w:val="00522465"/>
    <w:rsid w:val="00534C69"/>
    <w:rsid w:val="0054194E"/>
    <w:rsid w:val="00544D86"/>
    <w:rsid w:val="00554336"/>
    <w:rsid w:val="005544F9"/>
    <w:rsid w:val="00554616"/>
    <w:rsid w:val="00557FC3"/>
    <w:rsid w:val="00564705"/>
    <w:rsid w:val="00584526"/>
    <w:rsid w:val="00595A69"/>
    <w:rsid w:val="005A34C7"/>
    <w:rsid w:val="005B656B"/>
    <w:rsid w:val="005C3578"/>
    <w:rsid w:val="005C3604"/>
    <w:rsid w:val="005C55C4"/>
    <w:rsid w:val="005C5B7C"/>
    <w:rsid w:val="005D0C5C"/>
    <w:rsid w:val="005D4869"/>
    <w:rsid w:val="005D4A59"/>
    <w:rsid w:val="005F23F3"/>
    <w:rsid w:val="005F4211"/>
    <w:rsid w:val="00605E69"/>
    <w:rsid w:val="00620651"/>
    <w:rsid w:val="00621563"/>
    <w:rsid w:val="00622839"/>
    <w:rsid w:val="00635C1F"/>
    <w:rsid w:val="00640694"/>
    <w:rsid w:val="00650F91"/>
    <w:rsid w:val="00651BAE"/>
    <w:rsid w:val="00665E4B"/>
    <w:rsid w:val="006846D5"/>
    <w:rsid w:val="0068697D"/>
    <w:rsid w:val="00686CE0"/>
    <w:rsid w:val="0069051C"/>
    <w:rsid w:val="00695417"/>
    <w:rsid w:val="006A1476"/>
    <w:rsid w:val="006A383C"/>
    <w:rsid w:val="006A4C6E"/>
    <w:rsid w:val="006B0834"/>
    <w:rsid w:val="006B2E02"/>
    <w:rsid w:val="006C1BCD"/>
    <w:rsid w:val="006C1D17"/>
    <w:rsid w:val="006D467D"/>
    <w:rsid w:val="006D5AAA"/>
    <w:rsid w:val="006D6674"/>
    <w:rsid w:val="006D7794"/>
    <w:rsid w:val="006F0BD9"/>
    <w:rsid w:val="007034EA"/>
    <w:rsid w:val="00703A7C"/>
    <w:rsid w:val="00707E68"/>
    <w:rsid w:val="00720FD2"/>
    <w:rsid w:val="0072113F"/>
    <w:rsid w:val="00726401"/>
    <w:rsid w:val="00732E3C"/>
    <w:rsid w:val="00737607"/>
    <w:rsid w:val="0074129D"/>
    <w:rsid w:val="0074257D"/>
    <w:rsid w:val="007439F5"/>
    <w:rsid w:val="00743E3F"/>
    <w:rsid w:val="00752F50"/>
    <w:rsid w:val="007650D3"/>
    <w:rsid w:val="00767A82"/>
    <w:rsid w:val="007810AD"/>
    <w:rsid w:val="0078473F"/>
    <w:rsid w:val="0079718A"/>
    <w:rsid w:val="007A1FB3"/>
    <w:rsid w:val="007A3235"/>
    <w:rsid w:val="007A7236"/>
    <w:rsid w:val="007B349E"/>
    <w:rsid w:val="007B4649"/>
    <w:rsid w:val="007B4704"/>
    <w:rsid w:val="007C0F08"/>
    <w:rsid w:val="007C1147"/>
    <w:rsid w:val="007C3479"/>
    <w:rsid w:val="007D4765"/>
    <w:rsid w:val="007D7F00"/>
    <w:rsid w:val="007E3339"/>
    <w:rsid w:val="007F75EE"/>
    <w:rsid w:val="007F7F7D"/>
    <w:rsid w:val="008010EB"/>
    <w:rsid w:val="00804142"/>
    <w:rsid w:val="00811930"/>
    <w:rsid w:val="00830758"/>
    <w:rsid w:val="00837483"/>
    <w:rsid w:val="0084674B"/>
    <w:rsid w:val="0086435E"/>
    <w:rsid w:val="00864F3B"/>
    <w:rsid w:val="008732BC"/>
    <w:rsid w:val="00874086"/>
    <w:rsid w:val="00897132"/>
    <w:rsid w:val="008A6408"/>
    <w:rsid w:val="008B4037"/>
    <w:rsid w:val="008C00E1"/>
    <w:rsid w:val="008D4A34"/>
    <w:rsid w:val="008F2982"/>
    <w:rsid w:val="008F6903"/>
    <w:rsid w:val="00901BE4"/>
    <w:rsid w:val="009115DB"/>
    <w:rsid w:val="00915513"/>
    <w:rsid w:val="00920803"/>
    <w:rsid w:val="00930E94"/>
    <w:rsid w:val="0093222C"/>
    <w:rsid w:val="00935A73"/>
    <w:rsid w:val="00962B3C"/>
    <w:rsid w:val="0096426F"/>
    <w:rsid w:val="009670F0"/>
    <w:rsid w:val="00981060"/>
    <w:rsid w:val="009833E5"/>
    <w:rsid w:val="0098707D"/>
    <w:rsid w:val="00991709"/>
    <w:rsid w:val="009A0F63"/>
    <w:rsid w:val="009A4624"/>
    <w:rsid w:val="009C77E1"/>
    <w:rsid w:val="009D27DF"/>
    <w:rsid w:val="009D6A4B"/>
    <w:rsid w:val="009E0EE3"/>
    <w:rsid w:val="009E5E0A"/>
    <w:rsid w:val="009E69A7"/>
    <w:rsid w:val="00A04E7B"/>
    <w:rsid w:val="00A15FC1"/>
    <w:rsid w:val="00A340F6"/>
    <w:rsid w:val="00A34D3B"/>
    <w:rsid w:val="00A44D81"/>
    <w:rsid w:val="00A6766D"/>
    <w:rsid w:val="00A73A50"/>
    <w:rsid w:val="00A845F6"/>
    <w:rsid w:val="00A90695"/>
    <w:rsid w:val="00AA78AC"/>
    <w:rsid w:val="00AC3DD0"/>
    <w:rsid w:val="00AC7D64"/>
    <w:rsid w:val="00AD6B9A"/>
    <w:rsid w:val="00AE3D7E"/>
    <w:rsid w:val="00AE7DCC"/>
    <w:rsid w:val="00AF0938"/>
    <w:rsid w:val="00AF3891"/>
    <w:rsid w:val="00B0329E"/>
    <w:rsid w:val="00B166D6"/>
    <w:rsid w:val="00B36DED"/>
    <w:rsid w:val="00B3761F"/>
    <w:rsid w:val="00B42487"/>
    <w:rsid w:val="00B442EC"/>
    <w:rsid w:val="00B469F7"/>
    <w:rsid w:val="00B739A0"/>
    <w:rsid w:val="00B83195"/>
    <w:rsid w:val="00B9072B"/>
    <w:rsid w:val="00B91FCD"/>
    <w:rsid w:val="00B961E5"/>
    <w:rsid w:val="00BA03E8"/>
    <w:rsid w:val="00BA1DCC"/>
    <w:rsid w:val="00BA26ED"/>
    <w:rsid w:val="00BA5DFD"/>
    <w:rsid w:val="00BA680C"/>
    <w:rsid w:val="00BA6F58"/>
    <w:rsid w:val="00BC029C"/>
    <w:rsid w:val="00BC4E86"/>
    <w:rsid w:val="00BC6DDE"/>
    <w:rsid w:val="00BD35C6"/>
    <w:rsid w:val="00BD36FD"/>
    <w:rsid w:val="00BE13FF"/>
    <w:rsid w:val="00BE48C1"/>
    <w:rsid w:val="00BE60F5"/>
    <w:rsid w:val="00BE7314"/>
    <w:rsid w:val="00BE74EF"/>
    <w:rsid w:val="00BF674A"/>
    <w:rsid w:val="00C02C86"/>
    <w:rsid w:val="00C1108F"/>
    <w:rsid w:val="00C53FB9"/>
    <w:rsid w:val="00C54B69"/>
    <w:rsid w:val="00C6282A"/>
    <w:rsid w:val="00C75773"/>
    <w:rsid w:val="00C85ACE"/>
    <w:rsid w:val="00C92DE8"/>
    <w:rsid w:val="00C95E7A"/>
    <w:rsid w:val="00CB03E7"/>
    <w:rsid w:val="00CB1581"/>
    <w:rsid w:val="00CB3BF7"/>
    <w:rsid w:val="00CC1EDD"/>
    <w:rsid w:val="00CC2DA2"/>
    <w:rsid w:val="00CC47B6"/>
    <w:rsid w:val="00CD2847"/>
    <w:rsid w:val="00CD5FBF"/>
    <w:rsid w:val="00CE56EE"/>
    <w:rsid w:val="00D0143C"/>
    <w:rsid w:val="00D06346"/>
    <w:rsid w:val="00D11B65"/>
    <w:rsid w:val="00D130CD"/>
    <w:rsid w:val="00D20F6B"/>
    <w:rsid w:val="00D23E66"/>
    <w:rsid w:val="00D334FF"/>
    <w:rsid w:val="00D511A7"/>
    <w:rsid w:val="00D553D5"/>
    <w:rsid w:val="00D6368E"/>
    <w:rsid w:val="00D65567"/>
    <w:rsid w:val="00D80C2A"/>
    <w:rsid w:val="00D8492B"/>
    <w:rsid w:val="00D94942"/>
    <w:rsid w:val="00D94DD7"/>
    <w:rsid w:val="00DA2C51"/>
    <w:rsid w:val="00DA39C5"/>
    <w:rsid w:val="00DA516D"/>
    <w:rsid w:val="00DB11B9"/>
    <w:rsid w:val="00DB44A5"/>
    <w:rsid w:val="00DB637E"/>
    <w:rsid w:val="00DC2746"/>
    <w:rsid w:val="00DD388D"/>
    <w:rsid w:val="00DF1444"/>
    <w:rsid w:val="00DF6086"/>
    <w:rsid w:val="00DF62A7"/>
    <w:rsid w:val="00E01DAB"/>
    <w:rsid w:val="00E078C4"/>
    <w:rsid w:val="00E10F06"/>
    <w:rsid w:val="00E16CF1"/>
    <w:rsid w:val="00E249AE"/>
    <w:rsid w:val="00E322DA"/>
    <w:rsid w:val="00E50F49"/>
    <w:rsid w:val="00E51B30"/>
    <w:rsid w:val="00E60CE5"/>
    <w:rsid w:val="00E61A85"/>
    <w:rsid w:val="00E64565"/>
    <w:rsid w:val="00E712F3"/>
    <w:rsid w:val="00E729AA"/>
    <w:rsid w:val="00E82D76"/>
    <w:rsid w:val="00E900D3"/>
    <w:rsid w:val="00EA3F88"/>
    <w:rsid w:val="00EB1087"/>
    <w:rsid w:val="00EB4972"/>
    <w:rsid w:val="00EB71E7"/>
    <w:rsid w:val="00EC0148"/>
    <w:rsid w:val="00EC7247"/>
    <w:rsid w:val="00ED157D"/>
    <w:rsid w:val="00EE343B"/>
    <w:rsid w:val="00EE7D8C"/>
    <w:rsid w:val="00EF4CB3"/>
    <w:rsid w:val="00F019B8"/>
    <w:rsid w:val="00F01C33"/>
    <w:rsid w:val="00F1182C"/>
    <w:rsid w:val="00F123DD"/>
    <w:rsid w:val="00F129AF"/>
    <w:rsid w:val="00F17200"/>
    <w:rsid w:val="00F17A90"/>
    <w:rsid w:val="00F21C76"/>
    <w:rsid w:val="00F233CF"/>
    <w:rsid w:val="00F3650F"/>
    <w:rsid w:val="00F37C5C"/>
    <w:rsid w:val="00F40C94"/>
    <w:rsid w:val="00F40D50"/>
    <w:rsid w:val="00F478C9"/>
    <w:rsid w:val="00F6123F"/>
    <w:rsid w:val="00F857A3"/>
    <w:rsid w:val="00F87E0E"/>
    <w:rsid w:val="00F975BD"/>
    <w:rsid w:val="00F977B8"/>
    <w:rsid w:val="00FA23D7"/>
    <w:rsid w:val="00FA44B0"/>
    <w:rsid w:val="00FA5B01"/>
    <w:rsid w:val="00FB3194"/>
    <w:rsid w:val="00FB5D26"/>
    <w:rsid w:val="00FC2B84"/>
    <w:rsid w:val="00FD477B"/>
    <w:rsid w:val="00FE3726"/>
    <w:rsid w:val="00FE47D4"/>
    <w:rsid w:val="00FE4AEC"/>
    <w:rsid w:val="00FF0B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51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6086"/>
    <w:rPr>
      <w:sz w:val="22"/>
      <w:szCs w:val="22"/>
    </w:rPr>
  </w:style>
  <w:style w:type="paragraph" w:styleId="Titolo3">
    <w:name w:val="heading 3"/>
    <w:basedOn w:val="Normale"/>
    <w:next w:val="Normale"/>
    <w:link w:val="Titolo3Carattere"/>
    <w:qFormat/>
    <w:rsid w:val="00DF6086"/>
    <w:pPr>
      <w:keepNext/>
      <w:jc w:val="center"/>
      <w:outlineLvl w:val="2"/>
    </w:pPr>
    <w:rPr>
      <w:rFonts w:ascii="Times New Roman" w:eastAsia="Times New Roman" w:hAnsi="Times New Roman"/>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DF6086"/>
    <w:rPr>
      <w:rFonts w:ascii="Times New Roman" w:eastAsia="Times New Roman" w:hAnsi="Times New Roman" w:cs="Times New Roman"/>
      <w:b/>
      <w:kern w:val="0"/>
      <w:sz w:val="24"/>
      <w:szCs w:val="20"/>
      <w:lang w:eastAsia="it-IT"/>
    </w:rPr>
  </w:style>
  <w:style w:type="paragraph" w:customStyle="1" w:styleId="testo">
    <w:name w:val="testo"/>
    <w:rsid w:val="00DF6086"/>
    <w:pPr>
      <w:ind w:firstLine="397"/>
      <w:jc w:val="both"/>
    </w:pPr>
    <w:rPr>
      <w:rFonts w:ascii="Garamond" w:eastAsia="Times New Roman" w:hAnsi="Garamond"/>
      <w:sz w:val="23"/>
      <w:szCs w:val="23"/>
    </w:rPr>
  </w:style>
  <w:style w:type="paragraph" w:styleId="Pidipagina">
    <w:name w:val="footer"/>
    <w:basedOn w:val="Normale"/>
    <w:link w:val="PidipaginaCarattere"/>
    <w:uiPriority w:val="99"/>
    <w:unhideWhenUsed/>
    <w:rsid w:val="00DF6086"/>
    <w:pPr>
      <w:tabs>
        <w:tab w:val="center" w:pos="4819"/>
        <w:tab w:val="right" w:pos="9638"/>
      </w:tabs>
    </w:pPr>
  </w:style>
  <w:style w:type="character" w:customStyle="1" w:styleId="PidipaginaCarattere">
    <w:name w:val="Piè di pagina Carattere"/>
    <w:link w:val="Pidipagina"/>
    <w:uiPriority w:val="99"/>
    <w:rsid w:val="00DF6086"/>
    <w:rPr>
      <w:rFonts w:ascii="Calibri" w:eastAsia="Calibri" w:hAnsi="Calibri" w:cs="Times New Roman"/>
      <w:kern w:val="0"/>
      <w:lang w:eastAsia="it-IT"/>
    </w:rPr>
  </w:style>
  <w:style w:type="paragraph" w:styleId="Titolo">
    <w:name w:val="Title"/>
    <w:basedOn w:val="Normale"/>
    <w:link w:val="TitoloCarattere"/>
    <w:qFormat/>
    <w:rsid w:val="00DF6086"/>
    <w:pPr>
      <w:jc w:val="center"/>
    </w:pPr>
    <w:rPr>
      <w:rFonts w:ascii="Times New Roman" w:eastAsia="Times New Roman" w:hAnsi="Times New Roman"/>
      <w:b/>
      <w:sz w:val="20"/>
      <w:szCs w:val="20"/>
    </w:rPr>
  </w:style>
  <w:style w:type="character" w:customStyle="1" w:styleId="TitoloCarattere">
    <w:name w:val="Titolo Carattere"/>
    <w:link w:val="Titolo"/>
    <w:rsid w:val="00DF6086"/>
    <w:rPr>
      <w:rFonts w:ascii="Times New Roman" w:eastAsia="Times New Roman" w:hAnsi="Times New Roman" w:cs="Times New Roman"/>
      <w:b/>
      <w:kern w:val="0"/>
      <w:sz w:val="20"/>
      <w:szCs w:val="20"/>
      <w:lang w:eastAsia="it-IT"/>
    </w:rPr>
  </w:style>
  <w:style w:type="paragraph" w:styleId="Rientrocorpodeltesto">
    <w:name w:val="Body Text Indent"/>
    <w:basedOn w:val="Normale"/>
    <w:link w:val="RientrocorpodeltestoCarattere"/>
    <w:semiHidden/>
    <w:rsid w:val="00DF6086"/>
    <w:pPr>
      <w:tabs>
        <w:tab w:val="left" w:pos="0"/>
      </w:tabs>
      <w:ind w:firstLine="284"/>
      <w:jc w:val="both"/>
    </w:pPr>
    <w:rPr>
      <w:rFonts w:ascii="Times New Roman" w:eastAsia="Times New Roman" w:hAnsi="Times New Roman"/>
      <w:sz w:val="24"/>
      <w:szCs w:val="20"/>
    </w:rPr>
  </w:style>
  <w:style w:type="character" w:customStyle="1" w:styleId="RientrocorpodeltestoCarattere">
    <w:name w:val="Rientro corpo del testo Carattere"/>
    <w:link w:val="Rientrocorpodeltesto"/>
    <w:semiHidden/>
    <w:rsid w:val="00DF6086"/>
    <w:rPr>
      <w:rFonts w:ascii="Times New Roman" w:eastAsia="Times New Roman" w:hAnsi="Times New Roman" w:cs="Times New Roman"/>
      <w:kern w:val="0"/>
      <w:sz w:val="24"/>
      <w:szCs w:val="20"/>
      <w:lang w:eastAsia="it-IT"/>
    </w:rPr>
  </w:style>
  <w:style w:type="paragraph" w:styleId="Sommario3">
    <w:name w:val="toc 3"/>
    <w:basedOn w:val="Normale"/>
    <w:next w:val="Normale"/>
    <w:autoRedefine/>
    <w:uiPriority w:val="39"/>
    <w:unhideWhenUsed/>
    <w:rsid w:val="00DF6086"/>
    <w:pPr>
      <w:ind w:left="440"/>
    </w:pPr>
  </w:style>
  <w:style w:type="character" w:styleId="Collegamentoipertestuale">
    <w:name w:val="Hyperlink"/>
    <w:uiPriority w:val="99"/>
    <w:unhideWhenUsed/>
    <w:rsid w:val="00DF6086"/>
    <w:rPr>
      <w:color w:val="0000FF"/>
      <w:u w:val="single"/>
    </w:rPr>
  </w:style>
  <w:style w:type="paragraph" w:styleId="Testonotaapidipagina">
    <w:name w:val="footnote text"/>
    <w:basedOn w:val="Normale"/>
    <w:link w:val="TestonotaapidipaginaCarattere"/>
    <w:uiPriority w:val="99"/>
    <w:unhideWhenUsed/>
    <w:rsid w:val="00B91FCD"/>
    <w:pPr>
      <w:jc w:val="both"/>
    </w:pPr>
    <w:rPr>
      <w:rFonts w:ascii="Bookman Old Style" w:hAnsi="Bookman Old Style"/>
      <w:sz w:val="18"/>
      <w:szCs w:val="20"/>
    </w:rPr>
  </w:style>
  <w:style w:type="character" w:customStyle="1" w:styleId="TestonotaapidipaginaCarattere">
    <w:name w:val="Testo nota a piè di pagina Carattere"/>
    <w:link w:val="Testonotaapidipagina"/>
    <w:uiPriority w:val="99"/>
    <w:rsid w:val="00B91FCD"/>
    <w:rPr>
      <w:rFonts w:ascii="Bookman Old Style" w:eastAsia="Calibri" w:hAnsi="Bookman Old Style" w:cs="Times New Roman"/>
      <w:kern w:val="0"/>
      <w:sz w:val="18"/>
      <w:szCs w:val="20"/>
      <w:lang w:eastAsia="it-IT"/>
    </w:rPr>
  </w:style>
  <w:style w:type="character" w:styleId="Rimandonotaapidipagina">
    <w:name w:val="footnote reference"/>
    <w:uiPriority w:val="99"/>
    <w:semiHidden/>
    <w:unhideWhenUsed/>
    <w:rsid w:val="00554336"/>
    <w:rPr>
      <w:vertAlign w:val="superscript"/>
    </w:rPr>
  </w:style>
  <w:style w:type="paragraph" w:styleId="Intestazione">
    <w:name w:val="header"/>
    <w:basedOn w:val="Normale"/>
    <w:link w:val="IntestazioneCarattere"/>
    <w:uiPriority w:val="99"/>
    <w:unhideWhenUsed/>
    <w:rsid w:val="00C92DE8"/>
    <w:pPr>
      <w:tabs>
        <w:tab w:val="center" w:pos="4819"/>
        <w:tab w:val="right" w:pos="9638"/>
      </w:tabs>
    </w:pPr>
  </w:style>
  <w:style w:type="character" w:customStyle="1" w:styleId="IntestazioneCarattere">
    <w:name w:val="Intestazione Carattere"/>
    <w:link w:val="Intestazione"/>
    <w:uiPriority w:val="99"/>
    <w:rsid w:val="00C92DE8"/>
    <w:rPr>
      <w:rFonts w:ascii="Calibri" w:eastAsia="Calibri" w:hAnsi="Calibri" w:cs="Times New Roman"/>
      <w:kern w:val="0"/>
      <w:lang w:eastAsia="it-IT"/>
    </w:rPr>
  </w:style>
  <w:style w:type="paragraph" w:styleId="Testofumetto">
    <w:name w:val="Balloon Text"/>
    <w:basedOn w:val="Normale"/>
    <w:link w:val="TestofumettoCarattere"/>
    <w:uiPriority w:val="99"/>
    <w:semiHidden/>
    <w:unhideWhenUsed/>
    <w:rsid w:val="00C92DE8"/>
    <w:rPr>
      <w:rFonts w:ascii="Tahoma" w:hAnsi="Tahoma" w:cs="Tahoma"/>
      <w:sz w:val="16"/>
      <w:szCs w:val="16"/>
    </w:rPr>
  </w:style>
  <w:style w:type="character" w:customStyle="1" w:styleId="TestofumettoCarattere">
    <w:name w:val="Testo fumetto Carattere"/>
    <w:link w:val="Testofumetto"/>
    <w:uiPriority w:val="99"/>
    <w:semiHidden/>
    <w:rsid w:val="00C92DE8"/>
    <w:rPr>
      <w:rFonts w:ascii="Tahoma" w:eastAsia="Calibri" w:hAnsi="Tahoma" w:cs="Tahoma"/>
      <w:kern w:val="0"/>
      <w:sz w:val="16"/>
      <w:szCs w:val="16"/>
      <w:lang w:eastAsia="it-IT"/>
    </w:rPr>
  </w:style>
  <w:style w:type="paragraph" w:styleId="Revisione">
    <w:name w:val="Revision"/>
    <w:hidden/>
    <w:uiPriority w:val="99"/>
    <w:semiHidden/>
    <w:rsid w:val="00095BE5"/>
    <w:rPr>
      <w:sz w:val="22"/>
      <w:szCs w:val="22"/>
    </w:rPr>
  </w:style>
  <w:style w:type="character" w:styleId="Rimandocommento">
    <w:name w:val="annotation reference"/>
    <w:uiPriority w:val="99"/>
    <w:semiHidden/>
    <w:unhideWhenUsed/>
    <w:rsid w:val="00F17200"/>
    <w:rPr>
      <w:sz w:val="16"/>
      <w:szCs w:val="16"/>
    </w:rPr>
  </w:style>
  <w:style w:type="paragraph" w:styleId="Testocommento">
    <w:name w:val="annotation text"/>
    <w:basedOn w:val="Normale"/>
    <w:link w:val="TestocommentoCarattere"/>
    <w:uiPriority w:val="99"/>
    <w:unhideWhenUsed/>
    <w:rsid w:val="00F17200"/>
    <w:rPr>
      <w:sz w:val="20"/>
      <w:szCs w:val="20"/>
    </w:rPr>
  </w:style>
  <w:style w:type="character" w:customStyle="1" w:styleId="TestocommentoCarattere">
    <w:name w:val="Testo commento Carattere"/>
    <w:link w:val="Testocommento"/>
    <w:uiPriority w:val="99"/>
    <w:rsid w:val="00F17200"/>
    <w:rPr>
      <w:rFonts w:ascii="Calibri" w:eastAsia="Calibri" w:hAnsi="Calibri" w:cs="Times New Roman"/>
      <w:kern w:val="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17200"/>
    <w:rPr>
      <w:b/>
      <w:bCs/>
    </w:rPr>
  </w:style>
  <w:style w:type="character" w:customStyle="1" w:styleId="SoggettocommentoCarattere">
    <w:name w:val="Soggetto commento Carattere"/>
    <w:link w:val="Soggettocommento"/>
    <w:uiPriority w:val="99"/>
    <w:semiHidden/>
    <w:rsid w:val="00F17200"/>
    <w:rPr>
      <w:rFonts w:ascii="Calibri" w:eastAsia="Calibri" w:hAnsi="Calibri" w:cs="Times New Roman"/>
      <w:b/>
      <w:bCs/>
      <w:kern w:val="0"/>
      <w:sz w:val="20"/>
      <w:szCs w:val="20"/>
      <w:lang w:eastAsia="it-IT"/>
    </w:rPr>
  </w:style>
  <w:style w:type="paragraph" w:customStyle="1" w:styleId="pf0">
    <w:name w:val="pf0"/>
    <w:basedOn w:val="Normale"/>
    <w:rsid w:val="0054194E"/>
    <w:pPr>
      <w:spacing w:before="100" w:beforeAutospacing="1" w:after="100" w:afterAutospacing="1"/>
    </w:pPr>
    <w:rPr>
      <w:rFonts w:ascii="Times New Roman" w:eastAsia="Times New Roman" w:hAnsi="Times New Roman"/>
      <w:sz w:val="24"/>
      <w:szCs w:val="24"/>
    </w:rPr>
  </w:style>
  <w:style w:type="character" w:customStyle="1" w:styleId="cf01">
    <w:name w:val="cf01"/>
    <w:rsid w:val="0054194E"/>
    <w:rPr>
      <w:rFonts w:ascii="Segoe UI" w:hAnsi="Segoe UI" w:cs="Segoe UI" w:hint="default"/>
      <w:sz w:val="18"/>
      <w:szCs w:val="18"/>
    </w:rPr>
  </w:style>
  <w:style w:type="character" w:styleId="Menzionenonrisolta">
    <w:name w:val="Unresolved Mention"/>
    <w:uiPriority w:val="99"/>
    <w:semiHidden/>
    <w:unhideWhenUsed/>
    <w:rsid w:val="00E16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77FB2-97FE-4E84-9884-996E61B2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4505</Words>
  <Characters>25683</Characters>
  <Application>Microsoft Office Word</Application>
  <DocSecurity>0</DocSecurity>
  <Lines>214</Lines>
  <Paragraphs>60</Paragraphs>
  <ScaleCrop>false</ScaleCrop>
  <Company/>
  <LinksUpToDate>false</LinksUpToDate>
  <CharactersWithSpaces>30128</CharactersWithSpaces>
  <SharedDoc>false</SharedDoc>
  <HLinks>
    <vt:vector size="210" baseType="variant">
      <vt:variant>
        <vt:i4>1114172</vt:i4>
      </vt:variant>
      <vt:variant>
        <vt:i4>206</vt:i4>
      </vt:variant>
      <vt:variant>
        <vt:i4>0</vt:i4>
      </vt:variant>
      <vt:variant>
        <vt:i4>5</vt:i4>
      </vt:variant>
      <vt:variant>
        <vt:lpwstr/>
      </vt:variant>
      <vt:variant>
        <vt:lpwstr>_Toc218672130</vt:lpwstr>
      </vt:variant>
      <vt:variant>
        <vt:i4>1048636</vt:i4>
      </vt:variant>
      <vt:variant>
        <vt:i4>200</vt:i4>
      </vt:variant>
      <vt:variant>
        <vt:i4>0</vt:i4>
      </vt:variant>
      <vt:variant>
        <vt:i4>5</vt:i4>
      </vt:variant>
      <vt:variant>
        <vt:lpwstr/>
      </vt:variant>
      <vt:variant>
        <vt:lpwstr>_Toc218672129</vt:lpwstr>
      </vt:variant>
      <vt:variant>
        <vt:i4>1048636</vt:i4>
      </vt:variant>
      <vt:variant>
        <vt:i4>194</vt:i4>
      </vt:variant>
      <vt:variant>
        <vt:i4>0</vt:i4>
      </vt:variant>
      <vt:variant>
        <vt:i4>5</vt:i4>
      </vt:variant>
      <vt:variant>
        <vt:lpwstr/>
      </vt:variant>
      <vt:variant>
        <vt:lpwstr>_Toc218672128</vt:lpwstr>
      </vt:variant>
      <vt:variant>
        <vt:i4>1048636</vt:i4>
      </vt:variant>
      <vt:variant>
        <vt:i4>188</vt:i4>
      </vt:variant>
      <vt:variant>
        <vt:i4>0</vt:i4>
      </vt:variant>
      <vt:variant>
        <vt:i4>5</vt:i4>
      </vt:variant>
      <vt:variant>
        <vt:lpwstr/>
      </vt:variant>
      <vt:variant>
        <vt:lpwstr>_Toc218672127</vt:lpwstr>
      </vt:variant>
      <vt:variant>
        <vt:i4>1048636</vt:i4>
      </vt:variant>
      <vt:variant>
        <vt:i4>182</vt:i4>
      </vt:variant>
      <vt:variant>
        <vt:i4>0</vt:i4>
      </vt:variant>
      <vt:variant>
        <vt:i4>5</vt:i4>
      </vt:variant>
      <vt:variant>
        <vt:lpwstr/>
      </vt:variant>
      <vt:variant>
        <vt:lpwstr>_Toc218672126</vt:lpwstr>
      </vt:variant>
      <vt:variant>
        <vt:i4>1048636</vt:i4>
      </vt:variant>
      <vt:variant>
        <vt:i4>176</vt:i4>
      </vt:variant>
      <vt:variant>
        <vt:i4>0</vt:i4>
      </vt:variant>
      <vt:variant>
        <vt:i4>5</vt:i4>
      </vt:variant>
      <vt:variant>
        <vt:lpwstr/>
      </vt:variant>
      <vt:variant>
        <vt:lpwstr>_Toc218672125</vt:lpwstr>
      </vt:variant>
      <vt:variant>
        <vt:i4>1048636</vt:i4>
      </vt:variant>
      <vt:variant>
        <vt:i4>170</vt:i4>
      </vt:variant>
      <vt:variant>
        <vt:i4>0</vt:i4>
      </vt:variant>
      <vt:variant>
        <vt:i4>5</vt:i4>
      </vt:variant>
      <vt:variant>
        <vt:lpwstr/>
      </vt:variant>
      <vt:variant>
        <vt:lpwstr>_Toc218672124</vt:lpwstr>
      </vt:variant>
      <vt:variant>
        <vt:i4>1048636</vt:i4>
      </vt:variant>
      <vt:variant>
        <vt:i4>164</vt:i4>
      </vt:variant>
      <vt:variant>
        <vt:i4>0</vt:i4>
      </vt:variant>
      <vt:variant>
        <vt:i4>5</vt:i4>
      </vt:variant>
      <vt:variant>
        <vt:lpwstr/>
      </vt:variant>
      <vt:variant>
        <vt:lpwstr>_Toc218672123</vt:lpwstr>
      </vt:variant>
      <vt:variant>
        <vt:i4>1048636</vt:i4>
      </vt:variant>
      <vt:variant>
        <vt:i4>158</vt:i4>
      </vt:variant>
      <vt:variant>
        <vt:i4>0</vt:i4>
      </vt:variant>
      <vt:variant>
        <vt:i4>5</vt:i4>
      </vt:variant>
      <vt:variant>
        <vt:lpwstr/>
      </vt:variant>
      <vt:variant>
        <vt:lpwstr>_Toc218672122</vt:lpwstr>
      </vt:variant>
      <vt:variant>
        <vt:i4>1048636</vt:i4>
      </vt:variant>
      <vt:variant>
        <vt:i4>152</vt:i4>
      </vt:variant>
      <vt:variant>
        <vt:i4>0</vt:i4>
      </vt:variant>
      <vt:variant>
        <vt:i4>5</vt:i4>
      </vt:variant>
      <vt:variant>
        <vt:lpwstr/>
      </vt:variant>
      <vt:variant>
        <vt:lpwstr>_Toc218672121</vt:lpwstr>
      </vt:variant>
      <vt:variant>
        <vt:i4>1048636</vt:i4>
      </vt:variant>
      <vt:variant>
        <vt:i4>146</vt:i4>
      </vt:variant>
      <vt:variant>
        <vt:i4>0</vt:i4>
      </vt:variant>
      <vt:variant>
        <vt:i4>5</vt:i4>
      </vt:variant>
      <vt:variant>
        <vt:lpwstr/>
      </vt:variant>
      <vt:variant>
        <vt:lpwstr>_Toc218672120</vt:lpwstr>
      </vt:variant>
      <vt:variant>
        <vt:i4>1245244</vt:i4>
      </vt:variant>
      <vt:variant>
        <vt:i4>140</vt:i4>
      </vt:variant>
      <vt:variant>
        <vt:i4>0</vt:i4>
      </vt:variant>
      <vt:variant>
        <vt:i4>5</vt:i4>
      </vt:variant>
      <vt:variant>
        <vt:lpwstr/>
      </vt:variant>
      <vt:variant>
        <vt:lpwstr>_Toc218672119</vt:lpwstr>
      </vt:variant>
      <vt:variant>
        <vt:i4>1245244</vt:i4>
      </vt:variant>
      <vt:variant>
        <vt:i4>134</vt:i4>
      </vt:variant>
      <vt:variant>
        <vt:i4>0</vt:i4>
      </vt:variant>
      <vt:variant>
        <vt:i4>5</vt:i4>
      </vt:variant>
      <vt:variant>
        <vt:lpwstr/>
      </vt:variant>
      <vt:variant>
        <vt:lpwstr>_Toc218672118</vt:lpwstr>
      </vt:variant>
      <vt:variant>
        <vt:i4>1245244</vt:i4>
      </vt:variant>
      <vt:variant>
        <vt:i4>128</vt:i4>
      </vt:variant>
      <vt:variant>
        <vt:i4>0</vt:i4>
      </vt:variant>
      <vt:variant>
        <vt:i4>5</vt:i4>
      </vt:variant>
      <vt:variant>
        <vt:lpwstr/>
      </vt:variant>
      <vt:variant>
        <vt:lpwstr>_Toc218672117</vt:lpwstr>
      </vt:variant>
      <vt:variant>
        <vt:i4>1245244</vt:i4>
      </vt:variant>
      <vt:variant>
        <vt:i4>122</vt:i4>
      </vt:variant>
      <vt:variant>
        <vt:i4>0</vt:i4>
      </vt:variant>
      <vt:variant>
        <vt:i4>5</vt:i4>
      </vt:variant>
      <vt:variant>
        <vt:lpwstr/>
      </vt:variant>
      <vt:variant>
        <vt:lpwstr>_Toc218672116</vt:lpwstr>
      </vt:variant>
      <vt:variant>
        <vt:i4>1245244</vt:i4>
      </vt:variant>
      <vt:variant>
        <vt:i4>116</vt:i4>
      </vt:variant>
      <vt:variant>
        <vt:i4>0</vt:i4>
      </vt:variant>
      <vt:variant>
        <vt:i4>5</vt:i4>
      </vt:variant>
      <vt:variant>
        <vt:lpwstr/>
      </vt:variant>
      <vt:variant>
        <vt:lpwstr>_Toc218672115</vt:lpwstr>
      </vt:variant>
      <vt:variant>
        <vt:i4>1245244</vt:i4>
      </vt:variant>
      <vt:variant>
        <vt:i4>110</vt:i4>
      </vt:variant>
      <vt:variant>
        <vt:i4>0</vt:i4>
      </vt:variant>
      <vt:variant>
        <vt:i4>5</vt:i4>
      </vt:variant>
      <vt:variant>
        <vt:lpwstr/>
      </vt:variant>
      <vt:variant>
        <vt:lpwstr>_Toc218672114</vt:lpwstr>
      </vt:variant>
      <vt:variant>
        <vt:i4>1245244</vt:i4>
      </vt:variant>
      <vt:variant>
        <vt:i4>104</vt:i4>
      </vt:variant>
      <vt:variant>
        <vt:i4>0</vt:i4>
      </vt:variant>
      <vt:variant>
        <vt:i4>5</vt:i4>
      </vt:variant>
      <vt:variant>
        <vt:lpwstr/>
      </vt:variant>
      <vt:variant>
        <vt:lpwstr>_Toc218672113</vt:lpwstr>
      </vt:variant>
      <vt:variant>
        <vt:i4>1245244</vt:i4>
      </vt:variant>
      <vt:variant>
        <vt:i4>98</vt:i4>
      </vt:variant>
      <vt:variant>
        <vt:i4>0</vt:i4>
      </vt:variant>
      <vt:variant>
        <vt:i4>5</vt:i4>
      </vt:variant>
      <vt:variant>
        <vt:lpwstr/>
      </vt:variant>
      <vt:variant>
        <vt:lpwstr>_Toc218672112</vt:lpwstr>
      </vt:variant>
      <vt:variant>
        <vt:i4>1245244</vt:i4>
      </vt:variant>
      <vt:variant>
        <vt:i4>92</vt:i4>
      </vt:variant>
      <vt:variant>
        <vt:i4>0</vt:i4>
      </vt:variant>
      <vt:variant>
        <vt:i4>5</vt:i4>
      </vt:variant>
      <vt:variant>
        <vt:lpwstr/>
      </vt:variant>
      <vt:variant>
        <vt:lpwstr>_Toc218672111</vt:lpwstr>
      </vt:variant>
      <vt:variant>
        <vt:i4>1245244</vt:i4>
      </vt:variant>
      <vt:variant>
        <vt:i4>86</vt:i4>
      </vt:variant>
      <vt:variant>
        <vt:i4>0</vt:i4>
      </vt:variant>
      <vt:variant>
        <vt:i4>5</vt:i4>
      </vt:variant>
      <vt:variant>
        <vt:lpwstr/>
      </vt:variant>
      <vt:variant>
        <vt:lpwstr>_Toc218672110</vt:lpwstr>
      </vt:variant>
      <vt:variant>
        <vt:i4>1179708</vt:i4>
      </vt:variant>
      <vt:variant>
        <vt:i4>80</vt:i4>
      </vt:variant>
      <vt:variant>
        <vt:i4>0</vt:i4>
      </vt:variant>
      <vt:variant>
        <vt:i4>5</vt:i4>
      </vt:variant>
      <vt:variant>
        <vt:lpwstr/>
      </vt:variant>
      <vt:variant>
        <vt:lpwstr>_Toc218672109</vt:lpwstr>
      </vt:variant>
      <vt:variant>
        <vt:i4>1179708</vt:i4>
      </vt:variant>
      <vt:variant>
        <vt:i4>74</vt:i4>
      </vt:variant>
      <vt:variant>
        <vt:i4>0</vt:i4>
      </vt:variant>
      <vt:variant>
        <vt:i4>5</vt:i4>
      </vt:variant>
      <vt:variant>
        <vt:lpwstr/>
      </vt:variant>
      <vt:variant>
        <vt:lpwstr>_Toc218672108</vt:lpwstr>
      </vt:variant>
      <vt:variant>
        <vt:i4>1179708</vt:i4>
      </vt:variant>
      <vt:variant>
        <vt:i4>68</vt:i4>
      </vt:variant>
      <vt:variant>
        <vt:i4>0</vt:i4>
      </vt:variant>
      <vt:variant>
        <vt:i4>5</vt:i4>
      </vt:variant>
      <vt:variant>
        <vt:lpwstr/>
      </vt:variant>
      <vt:variant>
        <vt:lpwstr>_Toc218672107</vt:lpwstr>
      </vt:variant>
      <vt:variant>
        <vt:i4>1179708</vt:i4>
      </vt:variant>
      <vt:variant>
        <vt:i4>62</vt:i4>
      </vt:variant>
      <vt:variant>
        <vt:i4>0</vt:i4>
      </vt:variant>
      <vt:variant>
        <vt:i4>5</vt:i4>
      </vt:variant>
      <vt:variant>
        <vt:lpwstr/>
      </vt:variant>
      <vt:variant>
        <vt:lpwstr>_Toc218672106</vt:lpwstr>
      </vt:variant>
      <vt:variant>
        <vt:i4>1179708</vt:i4>
      </vt:variant>
      <vt:variant>
        <vt:i4>56</vt:i4>
      </vt:variant>
      <vt:variant>
        <vt:i4>0</vt:i4>
      </vt:variant>
      <vt:variant>
        <vt:i4>5</vt:i4>
      </vt:variant>
      <vt:variant>
        <vt:lpwstr/>
      </vt:variant>
      <vt:variant>
        <vt:lpwstr>_Toc218672105</vt:lpwstr>
      </vt:variant>
      <vt:variant>
        <vt:i4>1179708</vt:i4>
      </vt:variant>
      <vt:variant>
        <vt:i4>50</vt:i4>
      </vt:variant>
      <vt:variant>
        <vt:i4>0</vt:i4>
      </vt:variant>
      <vt:variant>
        <vt:i4>5</vt:i4>
      </vt:variant>
      <vt:variant>
        <vt:lpwstr/>
      </vt:variant>
      <vt:variant>
        <vt:lpwstr>_Toc218672104</vt:lpwstr>
      </vt:variant>
      <vt:variant>
        <vt:i4>1179708</vt:i4>
      </vt:variant>
      <vt:variant>
        <vt:i4>44</vt:i4>
      </vt:variant>
      <vt:variant>
        <vt:i4>0</vt:i4>
      </vt:variant>
      <vt:variant>
        <vt:i4>5</vt:i4>
      </vt:variant>
      <vt:variant>
        <vt:lpwstr/>
      </vt:variant>
      <vt:variant>
        <vt:lpwstr>_Toc218672103</vt:lpwstr>
      </vt:variant>
      <vt:variant>
        <vt:i4>1179708</vt:i4>
      </vt:variant>
      <vt:variant>
        <vt:i4>38</vt:i4>
      </vt:variant>
      <vt:variant>
        <vt:i4>0</vt:i4>
      </vt:variant>
      <vt:variant>
        <vt:i4>5</vt:i4>
      </vt:variant>
      <vt:variant>
        <vt:lpwstr/>
      </vt:variant>
      <vt:variant>
        <vt:lpwstr>_Toc218672102</vt:lpwstr>
      </vt:variant>
      <vt:variant>
        <vt:i4>1179708</vt:i4>
      </vt:variant>
      <vt:variant>
        <vt:i4>32</vt:i4>
      </vt:variant>
      <vt:variant>
        <vt:i4>0</vt:i4>
      </vt:variant>
      <vt:variant>
        <vt:i4>5</vt:i4>
      </vt:variant>
      <vt:variant>
        <vt:lpwstr/>
      </vt:variant>
      <vt:variant>
        <vt:lpwstr>_Toc218672101</vt:lpwstr>
      </vt:variant>
      <vt:variant>
        <vt:i4>1179708</vt:i4>
      </vt:variant>
      <vt:variant>
        <vt:i4>26</vt:i4>
      </vt:variant>
      <vt:variant>
        <vt:i4>0</vt:i4>
      </vt:variant>
      <vt:variant>
        <vt:i4>5</vt:i4>
      </vt:variant>
      <vt:variant>
        <vt:lpwstr/>
      </vt:variant>
      <vt:variant>
        <vt:lpwstr>_Toc218672100</vt:lpwstr>
      </vt:variant>
      <vt:variant>
        <vt:i4>1769533</vt:i4>
      </vt:variant>
      <vt:variant>
        <vt:i4>20</vt:i4>
      </vt:variant>
      <vt:variant>
        <vt:i4>0</vt:i4>
      </vt:variant>
      <vt:variant>
        <vt:i4>5</vt:i4>
      </vt:variant>
      <vt:variant>
        <vt:lpwstr/>
      </vt:variant>
      <vt:variant>
        <vt:lpwstr>_Toc218672099</vt:lpwstr>
      </vt:variant>
      <vt:variant>
        <vt:i4>1769533</vt:i4>
      </vt:variant>
      <vt:variant>
        <vt:i4>14</vt:i4>
      </vt:variant>
      <vt:variant>
        <vt:i4>0</vt:i4>
      </vt:variant>
      <vt:variant>
        <vt:i4>5</vt:i4>
      </vt:variant>
      <vt:variant>
        <vt:lpwstr/>
      </vt:variant>
      <vt:variant>
        <vt:lpwstr>_Toc218672098</vt:lpwstr>
      </vt:variant>
      <vt:variant>
        <vt:i4>1769533</vt:i4>
      </vt:variant>
      <vt:variant>
        <vt:i4>8</vt:i4>
      </vt:variant>
      <vt:variant>
        <vt:i4>0</vt:i4>
      </vt:variant>
      <vt:variant>
        <vt:i4>5</vt:i4>
      </vt:variant>
      <vt:variant>
        <vt:lpwstr/>
      </vt:variant>
      <vt:variant>
        <vt:lpwstr>_Toc218672097</vt:lpwstr>
      </vt:variant>
      <vt:variant>
        <vt:i4>1769533</vt:i4>
      </vt:variant>
      <vt:variant>
        <vt:i4>2</vt:i4>
      </vt:variant>
      <vt:variant>
        <vt:i4>0</vt:i4>
      </vt:variant>
      <vt:variant>
        <vt:i4>5</vt:i4>
      </vt:variant>
      <vt:variant>
        <vt:lpwstr/>
      </vt:variant>
      <vt:variant>
        <vt:lpwstr>_Toc218672096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2026-01-27T17:28:00Z</dcterms:created>
  <dcterms:modified xsi:type="dcterms:W3CDTF">2026-01-27T17:31:00Z</dcterms:modified>
</cp:coreProperties>
</file>